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05A" w:rsidRDefault="00384465">
      <w:pPr>
        <w:jc w:val="right"/>
      </w:pPr>
      <w:r>
        <w:rPr>
          <w:rFonts w:ascii="PT Astra Serif" w:hAnsi="PT Astra Serif" w:cs="PT Astra Serif"/>
          <w:b/>
          <w:bCs/>
          <w:position w:val="-2"/>
          <w:sz w:val="28"/>
          <w:szCs w:val="28"/>
        </w:rPr>
        <w:t>ПРОЕКТ</w:t>
      </w:r>
    </w:p>
    <w:p w:rsidR="008B205A" w:rsidRDefault="008B205A">
      <w:pPr>
        <w:rPr>
          <w:rFonts w:ascii="PT Astra Serif" w:hAnsi="PT Astra Serif" w:cs="PT Astra Serif"/>
          <w:sz w:val="28"/>
          <w:szCs w:val="28"/>
        </w:rPr>
      </w:pPr>
    </w:p>
    <w:p w:rsidR="008B205A" w:rsidRDefault="008B205A">
      <w:pPr>
        <w:rPr>
          <w:rFonts w:ascii="PT Astra Serif" w:hAnsi="PT Astra Serif" w:cs="PT Astra Serif"/>
          <w:sz w:val="28"/>
          <w:szCs w:val="28"/>
        </w:rPr>
      </w:pPr>
    </w:p>
    <w:p w:rsidR="008B205A" w:rsidRDefault="008B205A">
      <w:pPr>
        <w:rPr>
          <w:rFonts w:ascii="PT Astra Serif" w:hAnsi="PT Astra Serif" w:cs="PT Astra Serif"/>
          <w:sz w:val="28"/>
          <w:szCs w:val="28"/>
        </w:rPr>
      </w:pPr>
    </w:p>
    <w:p w:rsidR="008B205A" w:rsidRDefault="008B205A">
      <w:pPr>
        <w:rPr>
          <w:rFonts w:ascii="PT Astra Serif" w:hAnsi="PT Astra Serif" w:cs="PT Astra Serif"/>
          <w:sz w:val="28"/>
          <w:szCs w:val="28"/>
        </w:rPr>
      </w:pPr>
    </w:p>
    <w:p w:rsidR="008B205A" w:rsidRDefault="00384465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8B205A" w:rsidRDefault="00384465">
      <w:pPr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ПОСТАНОВЛЕНИЕ</w:t>
      </w:r>
    </w:p>
    <w:p w:rsidR="008B205A" w:rsidRDefault="008B205A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8B205A" w:rsidRDefault="008B205A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8B205A" w:rsidRDefault="008B205A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8B205A" w:rsidRDefault="008B205A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8B205A" w:rsidRDefault="00384465">
      <w:pPr>
        <w:pStyle w:val="af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Опроведении в 2020 году открытого молодёжного конкурса</w:t>
      </w:r>
    </w:p>
    <w:p w:rsidR="008B205A" w:rsidRDefault="00384465">
      <w:pPr>
        <w:pStyle w:val="af2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на лучший архитектурный проект «Город глазами молодых»</w:t>
      </w:r>
    </w:p>
    <w:p w:rsidR="008B205A" w:rsidRDefault="008B205A">
      <w:pPr>
        <w:jc w:val="center"/>
        <w:rPr>
          <w:rFonts w:ascii="PT Astra Serif" w:hAnsi="PT Astra Serif" w:cs="PT Astra Serif"/>
          <w:b/>
          <w:bCs/>
          <w:iCs/>
          <w:sz w:val="28"/>
          <w:szCs w:val="28"/>
        </w:rPr>
      </w:pPr>
    </w:p>
    <w:p w:rsidR="008B205A" w:rsidRDefault="00384465">
      <w:pPr>
        <w:ind w:firstLine="850"/>
        <w:jc w:val="both"/>
      </w:pPr>
      <w:r>
        <w:rPr>
          <w:rFonts w:ascii="PT Astra Serif" w:hAnsi="PT Astra Serif"/>
          <w:sz w:val="28"/>
          <w:szCs w:val="28"/>
        </w:rPr>
        <w:t xml:space="preserve">В целях создания условий для совершенствования архитектурно-художественной </w:t>
      </w:r>
      <w:r>
        <w:rPr>
          <w:rFonts w:ascii="PT Astra Serif" w:hAnsi="PT Astra Serif"/>
          <w:sz w:val="28"/>
          <w:szCs w:val="28"/>
        </w:rPr>
        <w:t>организации городской среды в муниципальном образовании «город Ульяновск» и улучшения его архитектурного облика Правительство Ульяновской области п о с т а н о в л я е т:</w:t>
      </w:r>
    </w:p>
    <w:p w:rsidR="008B205A" w:rsidRDefault="00384465">
      <w:pPr>
        <w:pStyle w:val="af2"/>
        <w:ind w:firstLine="851"/>
        <w:jc w:val="both"/>
      </w:pPr>
      <w:r>
        <w:rPr>
          <w:rFonts w:ascii="PT Astra Serif" w:hAnsi="PT Astra Serif"/>
          <w:sz w:val="28"/>
          <w:szCs w:val="28"/>
        </w:rPr>
        <w:t>1. Провести в 2020 году открытый молодёжный конкурс на лучший архитектурный проект «Г</w:t>
      </w:r>
      <w:r>
        <w:rPr>
          <w:rFonts w:ascii="PT Astra Serif" w:hAnsi="PT Astra Serif"/>
          <w:sz w:val="28"/>
          <w:szCs w:val="28"/>
        </w:rPr>
        <w:t>ород глазами молодых».</w:t>
      </w:r>
    </w:p>
    <w:p w:rsidR="008B205A" w:rsidRDefault="00384465">
      <w:pPr>
        <w:pStyle w:val="af2"/>
        <w:ind w:firstLine="851"/>
        <w:jc w:val="both"/>
      </w:pPr>
      <w:r>
        <w:rPr>
          <w:rFonts w:ascii="PT Astra Serif" w:hAnsi="PT Astra Serif"/>
          <w:sz w:val="28"/>
          <w:szCs w:val="28"/>
        </w:rPr>
        <w:t>2. Утвердить прилагаемое Положение о проведении открытого молодёжного конкурса на лучший архитектурный проект «Город глазами молодых».</w:t>
      </w:r>
    </w:p>
    <w:p w:rsidR="008B205A" w:rsidRDefault="00384465">
      <w:pPr>
        <w:pStyle w:val="af2"/>
        <w:ind w:firstLine="851"/>
        <w:jc w:val="both"/>
      </w:pPr>
      <w:r>
        <w:rPr>
          <w:rFonts w:ascii="PT Astra Serif" w:hAnsi="PT Astra Serif"/>
          <w:sz w:val="28"/>
          <w:szCs w:val="28"/>
        </w:rPr>
        <w:t>3. Финансовое обеспечение расходных обязательств, связанных с организацией и проведением открытого</w:t>
      </w:r>
      <w:r>
        <w:rPr>
          <w:rFonts w:ascii="PT Astra Serif" w:hAnsi="PT Astra Serif"/>
          <w:sz w:val="28"/>
          <w:szCs w:val="28"/>
        </w:rPr>
        <w:t xml:space="preserve"> молодёжного конкурса на лучший архитектурный проект «Город глазами молодых», осуществляется в пределах бюджетных ассигнований областного бюджета Ульяновской области на 2020 год и на плановый период 2021 и 2022 годов и лимитов бюджетных обязательств на соо</w:t>
      </w:r>
      <w:r>
        <w:rPr>
          <w:rFonts w:ascii="PT Astra Serif" w:hAnsi="PT Astra Serif"/>
          <w:sz w:val="28"/>
          <w:szCs w:val="28"/>
        </w:rPr>
        <w:t>тветствующие цели, доведённых до Министерства строительства и архитектуры Ульяновской области как получателя средств областного бюджета Ульяновской области.</w:t>
      </w:r>
    </w:p>
    <w:p w:rsidR="008B205A" w:rsidRDefault="00384465">
      <w:pPr>
        <w:pStyle w:val="af2"/>
        <w:ind w:firstLine="851"/>
        <w:jc w:val="both"/>
      </w:pPr>
      <w:r>
        <w:rPr>
          <w:rFonts w:ascii="PT Astra Serif" w:hAnsi="PT Astra Serif"/>
          <w:sz w:val="28"/>
          <w:szCs w:val="28"/>
        </w:rPr>
        <w:t>4. Настоящее постановление вступает в силу на следующий день после дня его официального опубликован</w:t>
      </w:r>
      <w:r>
        <w:rPr>
          <w:rFonts w:ascii="PT Astra Serif" w:hAnsi="PT Astra Serif"/>
          <w:sz w:val="28"/>
          <w:szCs w:val="28"/>
        </w:rPr>
        <w:t>ия.</w:t>
      </w:r>
    </w:p>
    <w:p w:rsidR="008B205A" w:rsidRDefault="008B205A">
      <w:pPr>
        <w:jc w:val="both"/>
        <w:rPr>
          <w:rFonts w:ascii="PT Astra Serif" w:hAnsi="PT Astra Serif"/>
          <w:sz w:val="28"/>
          <w:szCs w:val="28"/>
        </w:rPr>
      </w:pPr>
    </w:p>
    <w:p w:rsidR="008B205A" w:rsidRDefault="008B205A">
      <w:pPr>
        <w:jc w:val="both"/>
        <w:rPr>
          <w:rFonts w:ascii="PT Astra Serif" w:hAnsi="PT Astra Serif"/>
          <w:sz w:val="28"/>
          <w:szCs w:val="28"/>
        </w:rPr>
      </w:pPr>
    </w:p>
    <w:p w:rsidR="008B205A" w:rsidRDefault="008B205A">
      <w:pPr>
        <w:jc w:val="both"/>
        <w:rPr>
          <w:rFonts w:ascii="PT Astra Serif" w:hAnsi="PT Astra Serif"/>
          <w:sz w:val="28"/>
          <w:szCs w:val="28"/>
        </w:rPr>
      </w:pPr>
    </w:p>
    <w:p w:rsidR="008B205A" w:rsidRDefault="00384465">
      <w:pPr>
        <w:jc w:val="both"/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8B205A" w:rsidRDefault="00384465">
      <w:pPr>
        <w:jc w:val="both"/>
        <w:sectPr w:rsidR="008B205A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100" w:charSpace="8192"/>
        </w:sect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8B205A" w:rsidRDefault="00384465">
      <w:pPr>
        <w:shd w:val="clear" w:color="auto" w:fill="FFFFFF"/>
        <w:spacing w:line="360" w:lineRule="auto"/>
        <w:ind w:left="567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>УТВЕРЖДЕНО</w:t>
      </w:r>
    </w:p>
    <w:p w:rsidR="008B205A" w:rsidRDefault="00384465">
      <w:pPr>
        <w:shd w:val="clear" w:color="auto" w:fill="FFFFFF"/>
        <w:ind w:left="5670"/>
        <w:jc w:val="center"/>
      </w:pPr>
      <w:r>
        <w:rPr>
          <w:rFonts w:ascii="PT Astra Serif" w:hAnsi="PT Astra Serif" w:cs="PT Astra Serif"/>
          <w:color w:val="000000"/>
          <w:sz w:val="28"/>
          <w:szCs w:val="28"/>
        </w:rPr>
        <w:t>постановлением Правительства</w:t>
      </w:r>
    </w:p>
    <w:p w:rsidR="008B205A" w:rsidRDefault="00384465">
      <w:pPr>
        <w:shd w:val="clear" w:color="auto" w:fill="FFFFFF"/>
        <w:ind w:left="5670"/>
        <w:jc w:val="center"/>
      </w:pPr>
      <w:r>
        <w:rPr>
          <w:rFonts w:ascii="PT Astra Serif" w:hAnsi="PT Astra Serif" w:cs="PT Astra Serif"/>
          <w:color w:val="000000"/>
          <w:sz w:val="28"/>
          <w:szCs w:val="28"/>
        </w:rPr>
        <w:t>Ульяновской области</w:t>
      </w:r>
    </w:p>
    <w:p w:rsidR="008B205A" w:rsidRDefault="008B205A">
      <w:pPr>
        <w:shd w:val="clear" w:color="auto" w:fill="FFFFFF"/>
        <w:ind w:left="5954" w:firstLine="697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8B205A">
      <w:pPr>
        <w:shd w:val="clear" w:color="auto" w:fill="FFFFFF"/>
        <w:ind w:firstLine="697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8B205A">
      <w:pPr>
        <w:shd w:val="clear" w:color="auto" w:fill="FFFFFF"/>
        <w:ind w:firstLine="697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8B205A">
      <w:pPr>
        <w:shd w:val="clear" w:color="auto" w:fill="FFFFFF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384465">
      <w:pPr>
        <w:shd w:val="clear" w:color="auto" w:fill="FFFFFF"/>
        <w:spacing w:line="228" w:lineRule="auto"/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ПОЛОЖЕНИЕ</w:t>
      </w:r>
    </w:p>
    <w:p w:rsidR="008B205A" w:rsidRDefault="0038446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проведении открытого </w:t>
      </w:r>
      <w:r>
        <w:rPr>
          <w:rFonts w:ascii="Times New Roman" w:hAnsi="Times New Roman"/>
          <w:b/>
          <w:sz w:val="28"/>
          <w:szCs w:val="28"/>
        </w:rPr>
        <w:t>молодёжного конкурса</w:t>
      </w:r>
    </w:p>
    <w:p w:rsidR="008B205A" w:rsidRDefault="00384465">
      <w:pPr>
        <w:pStyle w:val="a8"/>
        <w:spacing w:after="0" w:line="228" w:lineRule="auto"/>
        <w:ind w:firstLine="360"/>
        <w:jc w:val="center"/>
      </w:pPr>
      <w:r>
        <w:rPr>
          <w:b/>
          <w:sz w:val="28"/>
          <w:szCs w:val="28"/>
        </w:rPr>
        <w:t>на лучший архитектурный проект «Город глазами молодых»</w:t>
      </w:r>
    </w:p>
    <w:p w:rsidR="008B205A" w:rsidRDefault="008B205A">
      <w:pPr>
        <w:shd w:val="clear" w:color="auto" w:fill="FFFFFF"/>
        <w:jc w:val="center"/>
        <w:rPr>
          <w:rFonts w:ascii="PT Astra Serif" w:hAnsi="PT Astra Serif" w:cs="PT Astra Serif"/>
          <w:bCs/>
          <w:color w:val="000000"/>
          <w:sz w:val="28"/>
          <w:szCs w:val="28"/>
        </w:rPr>
      </w:pPr>
    </w:p>
    <w:p w:rsidR="008B205A" w:rsidRDefault="00384465">
      <w:pPr>
        <w:shd w:val="clear" w:color="auto" w:fill="FFFFFF"/>
        <w:jc w:val="center"/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1. Общие положения</w:t>
      </w:r>
    </w:p>
    <w:p w:rsidR="008B205A" w:rsidRDefault="008B205A">
      <w:pPr>
        <w:shd w:val="clear" w:color="auto" w:fill="FFFFFF"/>
        <w:jc w:val="center"/>
        <w:rPr>
          <w:rFonts w:ascii="PT Astra Serif" w:hAnsi="PT Astra Serif" w:cs="PT Astra Serif"/>
          <w:bCs/>
          <w:color w:val="000000"/>
          <w:sz w:val="28"/>
          <w:szCs w:val="28"/>
        </w:rPr>
      </w:pPr>
    </w:p>
    <w:p w:rsidR="008B205A" w:rsidRDefault="00384465">
      <w:pPr>
        <w:pStyle w:val="a8"/>
        <w:tabs>
          <w:tab w:val="left" w:pos="709"/>
        </w:tabs>
        <w:spacing w:after="0" w:line="228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1.1. Настоящее Положение устанавливает порядок организации                  и проведения открытого молодёжного конкурса </w:t>
      </w:r>
      <w:r>
        <w:rPr>
          <w:rFonts w:ascii="PT Astra Serif" w:hAnsi="PT Astra Serif" w:cs="PT Astra Serif"/>
          <w:bCs/>
          <w:iCs/>
          <w:sz w:val="28"/>
          <w:szCs w:val="28"/>
        </w:rPr>
        <w:t xml:space="preserve">на лучший </w:t>
      </w:r>
      <w:r>
        <w:rPr>
          <w:rFonts w:ascii="PT Astra Serif" w:hAnsi="PT Astra Serif" w:cs="PT Astra Serif"/>
          <w:sz w:val="28"/>
          <w:szCs w:val="28"/>
        </w:rPr>
        <w:t>архитектурный</w:t>
      </w:r>
      <w:r>
        <w:rPr>
          <w:rFonts w:ascii="PT Astra Serif" w:hAnsi="PT Astra Serif" w:cs="PT Astra Serif"/>
          <w:bCs/>
          <w:iCs/>
          <w:sz w:val="28"/>
          <w:szCs w:val="28"/>
        </w:rPr>
        <w:t xml:space="preserve"> проект «Город глазами молодых» </w:t>
      </w:r>
      <w:r>
        <w:rPr>
          <w:rFonts w:ascii="PT Astra Serif" w:hAnsi="PT Astra Serif" w:cs="PT Astra Serif"/>
          <w:sz w:val="28"/>
          <w:szCs w:val="28"/>
        </w:rPr>
        <w:t>(далее – Положение, Конкурс соответственно).</w:t>
      </w: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1.2. Организатором Конкурса является Министерство </w:t>
      </w:r>
      <w:r>
        <w:rPr>
          <w:rFonts w:ascii="PT Astra Serif" w:hAnsi="PT Astra Serif"/>
          <w:sz w:val="28"/>
          <w:szCs w:val="28"/>
        </w:rPr>
        <w:t>строительства           и архитектуры Ульяновской области (далее – Министерство).</w:t>
      </w: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Министерство размещает текст настоящего Положен</w:t>
      </w:r>
      <w:r>
        <w:rPr>
          <w:rFonts w:ascii="PT Astra Serif" w:hAnsi="PT Astra Serif"/>
          <w:sz w:val="28"/>
          <w:szCs w:val="28"/>
        </w:rPr>
        <w:t>ия и приложения к нему на своём официальном сайте в информационно-телекоммуникационной сети «Интернет» (далее — официальный сайт) не позднее трёх рабочих дней со дня вступления настоящего Положения в силу.</w:t>
      </w: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1.3. В Конкурсе вправе принимать участие </w:t>
      </w:r>
      <w:r>
        <w:rPr>
          <w:rFonts w:ascii="PT Astra Serif" w:hAnsi="PT Astra Serif"/>
          <w:sz w:val="28"/>
          <w:szCs w:val="28"/>
        </w:rPr>
        <w:t xml:space="preserve">студенты </w:t>
      </w:r>
      <w:r>
        <w:rPr>
          <w:rFonts w:ascii="PT Astra Serif" w:hAnsi="PT Astra Serif"/>
          <w:sz w:val="28"/>
          <w:szCs w:val="28"/>
        </w:rPr>
        <w:t>профессиональных образовательных организаций и образовательных организаций высшего образования, осваивающие соответствующие профессиональные программы в области архитектуры, изобразительного и прикладных видов искусств, а также профессиональные архитекторы</w:t>
      </w:r>
      <w:r>
        <w:rPr>
          <w:rFonts w:ascii="PT Astra Serif" w:hAnsi="PT Astra Serif"/>
          <w:sz w:val="28"/>
          <w:szCs w:val="28"/>
        </w:rPr>
        <w:t>, художники и дизайнеры, возраст которых не превышает 35 лет</w:t>
      </w:r>
      <w:r>
        <w:rPr>
          <w:rFonts w:ascii="PT Astra Serif" w:hAnsi="PT Astra Serif" w:cs="PT Astra Serif"/>
          <w:sz w:val="28"/>
          <w:szCs w:val="28"/>
        </w:rPr>
        <w:t>(далее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 xml:space="preserve"> – участники Конкурса).</w:t>
      </w:r>
    </w:p>
    <w:p w:rsidR="008B205A" w:rsidRDefault="008B205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ind w:firstLine="709"/>
        <w:jc w:val="center"/>
        <w:rPr>
          <w:highlight w:val="yellow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2. Цель и задачи Конкурса</w:t>
      </w:r>
    </w:p>
    <w:p w:rsidR="008B205A" w:rsidRDefault="008B205A">
      <w:pPr>
        <w:shd w:val="clear" w:color="auto" w:fill="FFFFFF"/>
        <w:tabs>
          <w:tab w:val="left" w:pos="709"/>
        </w:tabs>
        <w:spacing w:line="228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384465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Целью Конкурса является совершенствование архитектурно-художественной организации городской среды, повышение художественного    и эст</w:t>
      </w:r>
      <w:r>
        <w:rPr>
          <w:rFonts w:ascii="PT Astra Serif" w:hAnsi="PT Astra Serif"/>
          <w:sz w:val="28"/>
          <w:szCs w:val="28"/>
        </w:rPr>
        <w:t>етического уровня архитектурного облика города Ульяновска.</w:t>
      </w:r>
    </w:p>
    <w:p w:rsidR="008B205A" w:rsidRDefault="0038446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Задачи Конкурса:</w:t>
      </w:r>
    </w:p>
    <w:p w:rsidR="008B205A" w:rsidRDefault="0038446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вовлечение в архитектурную и градостроительную деятельность молодых специалистов в Ульяновской области; </w:t>
      </w:r>
    </w:p>
    <w:p w:rsidR="008B205A" w:rsidRDefault="0038446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повышение интереса молодых специалистов в Ульяновской области                      к творческим профессиям; </w:t>
      </w:r>
    </w:p>
    <w:p w:rsidR="008B205A" w:rsidRDefault="0038446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повышение культурно-эстетического уровня населения в Ульяновской области.</w:t>
      </w:r>
    </w:p>
    <w:p w:rsidR="008B205A" w:rsidRDefault="008B205A">
      <w:pPr>
        <w:shd w:val="clear" w:color="auto" w:fill="FFFFFF"/>
        <w:tabs>
          <w:tab w:val="left" w:pos="709"/>
        </w:tabs>
        <w:spacing w:line="228" w:lineRule="auto"/>
        <w:ind w:firstLine="85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8B205A">
      <w:pPr>
        <w:shd w:val="clear" w:color="auto" w:fill="FFFFFF"/>
        <w:tabs>
          <w:tab w:val="left" w:pos="709"/>
        </w:tabs>
        <w:spacing w:line="228" w:lineRule="auto"/>
        <w:ind w:firstLine="85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jc w:val="center"/>
      </w:pPr>
      <w:r>
        <w:rPr>
          <w:rFonts w:ascii="PT Astra Serif" w:hAnsi="PT Astra Serif" w:cs="PT Astra Serif"/>
          <w:color w:val="000000"/>
          <w:sz w:val="28"/>
          <w:szCs w:val="28"/>
        </w:rPr>
        <w:t>3. Номинации Конкурса</w:t>
      </w:r>
    </w:p>
    <w:p w:rsidR="008B205A" w:rsidRDefault="008B205A">
      <w:pPr>
        <w:tabs>
          <w:tab w:val="left" w:pos="709"/>
        </w:tabs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384465">
      <w:pPr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3.1. Конкурс проводится в следующих номинациях: </w:t>
      </w:r>
    </w:p>
    <w:p w:rsidR="008B205A" w:rsidRDefault="00384465">
      <w:pPr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1) «Лучшее решение уникального молодёжного пространства»;</w:t>
      </w:r>
    </w:p>
    <w:p w:rsidR="008B205A" w:rsidRDefault="00384465">
      <w:pPr>
        <w:tabs>
          <w:tab w:val="left" w:pos="709"/>
        </w:tabs>
        <w:spacing w:line="228" w:lineRule="auto"/>
        <w:ind w:firstLine="709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2)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«Лучшее архитектурно-дизайнерское решение въездных знаков              в Ленинский, Засвияжский, Железнодорожный и Заволжский районы города Ульянов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ска».</w:t>
      </w:r>
    </w:p>
    <w:p w:rsidR="008B205A" w:rsidRDefault="008B205A">
      <w:pPr>
        <w:tabs>
          <w:tab w:val="left" w:pos="709"/>
        </w:tabs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384465">
      <w:pPr>
        <w:tabs>
          <w:tab w:val="left" w:pos="709"/>
        </w:tabs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4. </w:t>
      </w:r>
      <w:r>
        <w:rPr>
          <w:rFonts w:ascii="PT Astra Serif" w:hAnsi="PT Astra Serif" w:cs="PT Astra Serif"/>
          <w:sz w:val="28"/>
          <w:szCs w:val="28"/>
        </w:rPr>
        <w:t>Требования к содержанию и оформлению конкурсных р</w:t>
      </w:r>
      <w:r>
        <w:rPr>
          <w:rFonts w:ascii="PT Astra Serif" w:hAnsi="PT Astra Serif" w:cs="PT Astra Serif"/>
          <w:color w:val="000000"/>
          <w:sz w:val="28"/>
          <w:szCs w:val="28"/>
        </w:rPr>
        <w:t>абот</w:t>
      </w:r>
    </w:p>
    <w:p w:rsidR="008B205A" w:rsidRDefault="008B205A">
      <w:pPr>
        <w:tabs>
          <w:tab w:val="left" w:pos="709"/>
        </w:tabs>
        <w:spacing w:line="228" w:lineRule="auto"/>
        <w:jc w:val="center"/>
      </w:pP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ind w:firstLine="85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4.1. Конкурсными работами являются архитектурные проекты, выполненные в соответствии с тематикой номинации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.</w:t>
      </w: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ind w:firstLine="850"/>
        <w:jc w:val="both"/>
      </w:pP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4.2. Конкурсная работа состоит из текстовой и графической частей.</w:t>
      </w: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ind w:firstLine="850"/>
        <w:jc w:val="both"/>
      </w:pP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Текстовая часть с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остоит из пояснительной записки, выполненной на листах формата А4, и содержит следующую информацию:</w:t>
      </w: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ind w:firstLine="850"/>
        <w:jc w:val="both"/>
      </w:pP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1) описание основной идеи архитектурного проекта, положенной в основу авторского замысла;</w:t>
      </w: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ind w:firstLine="850"/>
        <w:jc w:val="both"/>
      </w:pP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2) примерный расчёт стоимости товаров, работ, услуг, необходимых д</w:t>
      </w:r>
      <w:r>
        <w:rPr>
          <w:rFonts w:ascii="PT Astra Serif" w:hAnsi="PT Astra Serif" w:cs="PT Astra Serif"/>
          <w:bCs/>
          <w:iCs/>
          <w:color w:val="000000"/>
          <w:sz w:val="28"/>
          <w:szCs w:val="28"/>
        </w:rPr>
        <w:t>ля реализации архитектурного проекта.</w:t>
      </w:r>
    </w:p>
    <w:p w:rsidR="008B205A" w:rsidRDefault="00384465">
      <w:pPr>
        <w:ind w:firstLine="85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Графическая часть выполняется на планшете (формат планшета               и техника подачи определяются участником самостоятельно).</w:t>
      </w:r>
    </w:p>
    <w:p w:rsidR="008B205A" w:rsidRDefault="00384465">
      <w:pPr>
        <w:ind w:firstLine="85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4.3. Конкурсная работа должна соответствовать следующим требованиям: </w:t>
      </w:r>
    </w:p>
    <w:p w:rsidR="008B205A" w:rsidRDefault="00384465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1) содержащиеся в</w:t>
      </w:r>
      <w:r>
        <w:rPr>
          <w:rFonts w:ascii="PT Astra Serif" w:hAnsi="PT Astra Serif" w:cs="PT Astra Serif"/>
          <w:sz w:val="28"/>
          <w:szCs w:val="28"/>
        </w:rPr>
        <w:t xml:space="preserve"> конкурсной работе, представленной для участия в номинации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«Лучшее решение уникального молодёжного пространства», изображения должны отражать все элементы архитектурно-художественного оформления общественного пространства, предназначенного для организации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досуга молодёжи, в различных ракурсах,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позволяющих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оценить конкурсную работу согласно критериям, установленным подпунктом 1 пункта 5.11 раздела 5 настоящего Положения.</w:t>
      </w:r>
    </w:p>
    <w:p w:rsidR="008B205A" w:rsidRDefault="00384465">
      <w:pPr>
        <w:ind w:firstLine="850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2) конкурсная работа, представленная для участия в номинации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«Лучшее архитектурно-дизайнерское решение въездных знаков в Ленинский, Засвияжский, Железнодорожный и Заволжский районы города Ульяновска» должен содержать:</w:t>
      </w:r>
    </w:p>
    <w:p w:rsidR="008B205A" w:rsidRDefault="00384465">
      <w:pPr>
        <w:ind w:firstLine="85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а) схему расположения въездных знаков на местности;</w:t>
      </w:r>
    </w:p>
    <w:p w:rsidR="008B205A" w:rsidRDefault="00384465">
      <w:pPr>
        <w:ind w:firstLine="85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б) изображения каждого въездного знака (вид св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ерху, спереди, сбоку и сзади); </w:t>
      </w:r>
    </w:p>
    <w:p w:rsidR="008B205A" w:rsidRDefault="00384465">
      <w:pPr>
        <w:ind w:firstLine="85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в) перспективные изображения каждого въездного знака в окружающей его застройке при ночном и дневном освещении, позволяющие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оценить конкурсную работу согласно критериям, установленным подпунктом 2 пункта 5.11 раздела 5 насто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ящего Положения.</w:t>
      </w:r>
    </w:p>
    <w:p w:rsidR="008B205A" w:rsidRDefault="00384465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4.4. Конкурсные работы выполняются участниками Конкурса                         и представляются в Министерство на бумажном носителе и в электронном виде в формате jpeg (разрешение 300 dpi).</w:t>
      </w:r>
    </w:p>
    <w:p w:rsidR="008B205A" w:rsidRDefault="008B205A">
      <w:pPr>
        <w:shd w:val="clear" w:color="auto" w:fill="FFFFFF"/>
        <w:tabs>
          <w:tab w:val="left" w:pos="709"/>
        </w:tabs>
        <w:spacing w:line="228" w:lineRule="auto"/>
        <w:ind w:firstLine="850"/>
        <w:jc w:val="both"/>
        <w:rPr>
          <w:rFonts w:ascii="PT Astra Serif" w:hAnsi="PT Astra Serif" w:cs="PT Astra Serif"/>
          <w:bCs/>
          <w:iCs/>
          <w:color w:val="000000"/>
          <w:sz w:val="28"/>
          <w:szCs w:val="28"/>
        </w:rPr>
      </w:pPr>
    </w:p>
    <w:p w:rsidR="008B205A" w:rsidRDefault="00384465">
      <w:pPr>
        <w:suppressAutoHyphens w:val="0"/>
        <w:jc w:val="center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5. Порядок проведения Конкурса и определения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победителей Конкурса</w:t>
      </w:r>
    </w:p>
    <w:p w:rsidR="008B205A" w:rsidRDefault="008B205A">
      <w:pPr>
        <w:suppressAutoHyphens w:val="0"/>
        <w:ind w:firstLine="85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8B205A" w:rsidRDefault="00384465">
      <w:pPr>
        <w:suppressAutoHyphens w:val="0"/>
        <w:ind w:firstLine="85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5.1 Конкурс объявляется Министерством посредством размещения сообщения об этом на официальном сайте.</w:t>
      </w:r>
    </w:p>
    <w:p w:rsidR="008B205A" w:rsidRDefault="00384465">
      <w:pPr>
        <w:spacing w:line="235" w:lineRule="auto"/>
        <w:ind w:firstLine="85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5.2. Для участия в Конкурсе участники Конкурса представляют                         в Министерство конкурсные работы и </w:t>
      </w:r>
      <w:r>
        <w:rPr>
          <w:rFonts w:ascii="PT Astra Serif" w:hAnsi="PT Astra Serif" w:cs="PT Astra Serif"/>
          <w:sz w:val="28"/>
          <w:szCs w:val="28"/>
        </w:rPr>
        <w:t>заявки на учас</w:t>
      </w:r>
      <w:r>
        <w:rPr>
          <w:rFonts w:ascii="PT Astra Serif" w:hAnsi="PT Astra Serif" w:cs="PT Astra Serif"/>
          <w:sz w:val="28"/>
          <w:szCs w:val="28"/>
        </w:rPr>
        <w:t>тие в Конкурсе, составленные по установленной приложением к настоящему Положению форме (далее – заявки). Заявки запечатываются в конверты, на которых проставляется пометка «Конкурс на лучший архитектурный проект «Город глазами молодых». Приём конкурсных ра</w:t>
      </w:r>
      <w:r>
        <w:rPr>
          <w:rFonts w:ascii="PT Astra Serif" w:hAnsi="PT Astra Serif" w:cs="PT Astra Serif"/>
          <w:sz w:val="28"/>
          <w:szCs w:val="28"/>
        </w:rPr>
        <w:t>бот и заявок начинается на десятый рабочий день со дня размещения на официальном сайте сообщения об объявлении Конкурса и завершается через двадцать рабочих дней с этого дня. Конкурсные работы и заявки принимаются Министерством по рабочим дням с 09.00 до 1</w:t>
      </w:r>
      <w:r>
        <w:rPr>
          <w:rFonts w:ascii="PT Astra Serif" w:hAnsi="PT Astra Serif" w:cs="PT Astra Serif"/>
          <w:sz w:val="28"/>
          <w:szCs w:val="28"/>
        </w:rPr>
        <w:t>3.00 и с 14.00 до 17.00 часов по адресу: г. Ульяновск, ул. Спасская,      д. 5, каб. 42.</w:t>
      </w:r>
    </w:p>
    <w:p w:rsidR="008B205A" w:rsidRDefault="00384465">
      <w:pPr>
        <w:ind w:firstLine="85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5.3. Представленные участниками Конкурса</w:t>
      </w:r>
      <w:r>
        <w:rPr>
          <w:rFonts w:ascii="PT Astra Serif" w:hAnsi="PT Astra Serif"/>
          <w:sz w:val="28"/>
          <w:szCs w:val="28"/>
        </w:rPr>
        <w:t xml:space="preserve"> конкурсные работы и заявки регистрируются Министерством в журнале, форма и порядок ведения которого устанавливается Министерст</w:t>
      </w:r>
      <w:r>
        <w:rPr>
          <w:rFonts w:ascii="PT Astra Serif" w:hAnsi="PT Astra Serif"/>
          <w:sz w:val="28"/>
          <w:szCs w:val="28"/>
        </w:rPr>
        <w:t xml:space="preserve">вом. В течении трёх рабочих дней со дня истечения срока приёма конкурсных работ и заявок Министерство вскрывает конверты с заявками и проверяет соответствие участников Конкурса требованиям, установленным пунктом 1.3 раздела 1 настоящего Положения,         </w:t>
      </w:r>
      <w:r>
        <w:rPr>
          <w:rFonts w:ascii="PT Astra Serif" w:hAnsi="PT Astra Serif"/>
          <w:sz w:val="28"/>
          <w:szCs w:val="28"/>
        </w:rPr>
        <w:t>а также соответствие конкурсных работ и заявок требованиям, установленным соответственно разделом 4 настоящего Положения и пунктом 5.3 настоящего раздела, и принимает решение о допуске участников Конкурса к участию в Конкурсе или об отказе в таком допуске.</w:t>
      </w:r>
    </w:p>
    <w:p w:rsidR="008B205A" w:rsidRDefault="00384465">
      <w:pPr>
        <w:ind w:firstLine="850"/>
        <w:jc w:val="both"/>
      </w:pPr>
      <w:r>
        <w:rPr>
          <w:rFonts w:ascii="PT Astra Serif" w:hAnsi="PT Astra Serif"/>
          <w:sz w:val="28"/>
          <w:szCs w:val="28"/>
        </w:rPr>
        <w:t>Министерство принимает решение об отказе в допуске участника Конкурса к участию в Конкурсе в случаях:</w:t>
      </w:r>
    </w:p>
    <w:p w:rsidR="008B205A" w:rsidRDefault="00384465">
      <w:pPr>
        <w:ind w:firstLine="850"/>
        <w:jc w:val="both"/>
      </w:pPr>
      <w:r>
        <w:rPr>
          <w:rFonts w:ascii="PT Astra Serif" w:hAnsi="PT Astra Serif"/>
          <w:sz w:val="28"/>
          <w:szCs w:val="28"/>
        </w:rPr>
        <w:t>1) несоответствия участника Конкурса требованиям, установленным пунктом 1.3 раздела 1 настоящего Положения;</w:t>
      </w:r>
    </w:p>
    <w:p w:rsidR="008B205A" w:rsidRDefault="00384465">
      <w:pPr>
        <w:ind w:firstLine="850"/>
        <w:jc w:val="both"/>
      </w:pPr>
      <w:r>
        <w:rPr>
          <w:rFonts w:ascii="PT Astra Serif" w:hAnsi="PT Astra Serif"/>
          <w:sz w:val="28"/>
          <w:szCs w:val="28"/>
        </w:rPr>
        <w:t>2) несоответствия представленных участником К</w:t>
      </w:r>
      <w:r>
        <w:rPr>
          <w:rFonts w:ascii="PT Astra Serif" w:hAnsi="PT Astra Serif"/>
          <w:sz w:val="28"/>
          <w:szCs w:val="28"/>
        </w:rPr>
        <w:t>онкурса конкурсных работ и (или) заявок требованиям, установленным соответственно разделом 4 настоящего Положения и пунктом 5.2 настоящего раздела;</w:t>
      </w:r>
    </w:p>
    <w:p w:rsidR="008B205A" w:rsidRDefault="00384465">
      <w:pPr>
        <w:ind w:firstLine="850"/>
        <w:jc w:val="both"/>
      </w:pPr>
      <w:r>
        <w:rPr>
          <w:rFonts w:ascii="PT Astra Serif" w:hAnsi="PT Astra Serif"/>
          <w:sz w:val="28"/>
          <w:szCs w:val="28"/>
        </w:rPr>
        <w:t>3) представления участником Конкурса конкурсной работы и заявки по истечении срока, установленного для их пр</w:t>
      </w:r>
      <w:r>
        <w:rPr>
          <w:rFonts w:ascii="PT Astra Serif" w:hAnsi="PT Astra Serif"/>
          <w:sz w:val="28"/>
          <w:szCs w:val="28"/>
        </w:rPr>
        <w:t>иёма.</w:t>
      </w:r>
    </w:p>
    <w:p w:rsidR="008B205A" w:rsidRDefault="00384465">
      <w:pPr>
        <w:ind w:firstLine="850"/>
        <w:jc w:val="both"/>
      </w:pPr>
      <w:r>
        <w:rPr>
          <w:rFonts w:ascii="PT Astra Serif" w:hAnsi="PT Astra Serif"/>
          <w:sz w:val="28"/>
          <w:szCs w:val="28"/>
        </w:rPr>
        <w:t>Министерство не позднее третьего рабочего дня, следующего за днем принятия решений, указанных в абзаце первом настоящего пункта, уведомляет о них участников Конкурса по номерам контактных телефонов или по адресам электронной почты, указанным в заявке</w:t>
      </w:r>
      <w:r>
        <w:rPr>
          <w:rFonts w:ascii="PT Astra Serif" w:hAnsi="PT Astra Serif"/>
          <w:sz w:val="28"/>
          <w:szCs w:val="28"/>
        </w:rPr>
        <w:t>, передаёт конкурсные работы, представленные участниками конкурса, допущенными к участию в нём, на рассмотрение конкурсной комиссии (далее — комиссии), состав и порядок деятельности которой в части, не урегулированной настоящим Положением, утверждаются нор</w:t>
      </w:r>
      <w:r>
        <w:rPr>
          <w:rFonts w:ascii="PT Astra Serif" w:hAnsi="PT Astra Serif"/>
          <w:sz w:val="28"/>
          <w:szCs w:val="28"/>
        </w:rPr>
        <w:t>мативным актом Министерством, и на общественное рассмотрение на официальном сайте.</w:t>
      </w:r>
    </w:p>
    <w:p w:rsidR="008B205A" w:rsidRDefault="00384465">
      <w:pPr>
        <w:ind w:firstLine="850"/>
        <w:jc w:val="both"/>
      </w:pPr>
      <w:r>
        <w:rPr>
          <w:rFonts w:ascii="PT Astra Serif" w:hAnsi="PT Astra Serif"/>
          <w:sz w:val="28"/>
          <w:szCs w:val="28"/>
        </w:rPr>
        <w:t xml:space="preserve">5.4. </w:t>
      </w:r>
      <w:r>
        <w:rPr>
          <w:rFonts w:ascii="PT Astra Serif" w:hAnsi="PT Astra Serif" w:cs="PT Astra Serif"/>
          <w:sz w:val="28"/>
          <w:szCs w:val="28"/>
        </w:rPr>
        <w:t>Общественное рассмотрение конкурсных работ на официальном сайте начинается со дня их размещения на официальном сайте и завершается через четырнадцать календарных дней.</w:t>
      </w:r>
    </w:p>
    <w:p w:rsidR="008B205A" w:rsidRDefault="00384465">
      <w:pPr>
        <w:spacing w:line="235" w:lineRule="auto"/>
        <w:ind w:firstLine="85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Участники общественного рассмотрения рассматривают конкурсные работы, применительно к которым конкурсной комиссией принято решение о допуске участников Конкурса к участию в Конкурсе в соответствии с пунктом 5.3 настоящего раздела, и оценивает их. Каждый уч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астники общественного рассмотрения оценивает каждую конкурсную работу в диапазоне от 0 до 5 баллов.</w:t>
      </w:r>
    </w:p>
    <w:p w:rsidR="008B205A" w:rsidRDefault="00384465">
      <w:pPr>
        <w:spacing w:line="235" w:lineRule="auto"/>
        <w:ind w:firstLine="85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Число баллов, выставленных всеми участниками общественного рассмотрения по итогам оценки конкурсной работы, суммируется и делится на число участников общест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венных обсуждений, принявших участие в оценке конкурсной работы. Частное от указанного деления представляет собой итоговую сумму баллов, присвоенных конкурсной работе </w:t>
      </w:r>
      <w:bookmarkStart w:id="1" w:name="__DdeLink__459_491555777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по итогам общественного рассмотрения на официальном сайте</w:t>
      </w:r>
      <w:bookmarkEnd w:id="1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8B205A" w:rsidRDefault="00384465">
      <w:pPr>
        <w:ind w:firstLine="85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5.5. Комиссия состоит из предс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едателя комиссии, заместителя председателя комиссии, секретаря комиссии и членов комиссии. Число членов комиссии составляет 5 человек.</w:t>
      </w:r>
    </w:p>
    <w:p w:rsidR="008B205A" w:rsidRDefault="00384465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5.6. Руководство деятельностью комиссии осуществляет председатель комиссии, а в его отсутствие – заместитель председателя</w:t>
      </w:r>
      <w:r>
        <w:rPr>
          <w:rFonts w:ascii="PT Astra Serif" w:hAnsi="PT Astra Serif" w:cs="PT Astra Serif"/>
          <w:sz w:val="28"/>
          <w:szCs w:val="28"/>
        </w:rPr>
        <w:t xml:space="preserve"> комиссии. </w:t>
      </w:r>
    </w:p>
    <w:p w:rsidR="008B205A" w:rsidRDefault="00384465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5.7. Секретарь комиссии обеспечивает хранение переданных Министерством в комиссию конкурсных работ, заблаговременное уведомление членов комиссии о дате, времени, месте и повестке дня заседания комиссии, делопроизводства комиссии, включая ведени</w:t>
      </w:r>
      <w:r>
        <w:rPr>
          <w:rFonts w:ascii="PT Astra Serif" w:hAnsi="PT Astra Serif" w:cs="PT Astra Serif"/>
          <w:sz w:val="28"/>
          <w:szCs w:val="28"/>
        </w:rPr>
        <w:t>е протокола её заседаний, а также осуществляет иные функции, предусмотренные правовым актом Министерства, указанным в абзаце шестом пункта 5.3 настоящего раздела.</w:t>
      </w:r>
    </w:p>
    <w:p w:rsidR="008B205A" w:rsidRDefault="00384465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5.8. Члены комиссии обязаны лично присутствовать на заседании комиссии. Делегирование членами</w:t>
      </w:r>
      <w:r>
        <w:rPr>
          <w:rFonts w:ascii="PT Astra Serif" w:hAnsi="PT Astra Serif" w:cs="PT Astra Serif"/>
          <w:sz w:val="28"/>
          <w:szCs w:val="28"/>
        </w:rPr>
        <w:t xml:space="preserve"> комиссии своих полномочий иным лицам не допускается. </w:t>
      </w:r>
    </w:p>
    <w:p w:rsidR="008B205A" w:rsidRDefault="00384465">
      <w:pPr>
        <w:ind w:firstLine="850"/>
        <w:jc w:val="both"/>
      </w:pPr>
      <w:r>
        <w:rPr>
          <w:rFonts w:ascii="PT Astra Serif" w:hAnsi="PT Astra Serif" w:cs="PT Astra Serif"/>
          <w:sz w:val="28"/>
          <w:szCs w:val="28"/>
        </w:rPr>
        <w:t>5.9. Заседание комиссии правомочно, если на нём присутствует не менее двух третей от установленного числа её членов. Каждый член комиссии имеет один голос. Решения комиссии отражаются в протоколах засе</w:t>
      </w:r>
      <w:r>
        <w:rPr>
          <w:rFonts w:ascii="PT Astra Serif" w:hAnsi="PT Astra Serif" w:cs="PT Astra Serif"/>
          <w:sz w:val="28"/>
          <w:szCs w:val="28"/>
        </w:rPr>
        <w:t>даний комиссии, которые подписываются всеми присутствующими на заседании комиссии членами комиссии не позднее двух рабочих дней со дня проведения заседания комиссии.</w:t>
      </w:r>
    </w:p>
    <w:p w:rsidR="008B205A" w:rsidRDefault="00384465">
      <w:pPr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5.10. Конкурсная комиссия рассматривает конкурсные работы, применительно к которым конкурс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ной комиссией принято решение о допуске участников Конкурса к участию в Конкурсе в соответствии с пунктом 5.3 настоящего раздела, и оценивает их. Каждый присутствующий на заседании конкурсной комиссии член конкурсной комиссии оценивает каждую конкурсную ра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боту в диапазоне от 0 до 5 баллов согласно следующим критериям:</w:t>
      </w:r>
    </w:p>
    <w:p w:rsidR="008B205A" w:rsidRDefault="00384465">
      <w:pPr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1) для номинации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«Лучшее решение уникального молодёжного пространства»:</w:t>
      </w:r>
    </w:p>
    <w:p w:rsidR="008B205A" w:rsidRDefault="00384465">
      <w:pPr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степень оригинальности архитектурно-планировочного решения пространства;</w:t>
      </w:r>
    </w:p>
    <w:p w:rsidR="008B205A" w:rsidRDefault="00384465">
      <w:pPr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б) степень выразительности </w:t>
      </w:r>
      <w:r>
        <w:rPr>
          <w:rFonts w:ascii="PT Astra Serif" w:hAnsi="PT Astra Serif" w:cs="PT Astra Serif"/>
          <w:sz w:val="28"/>
          <w:szCs w:val="28"/>
        </w:rPr>
        <w:t>архитектурно-художественного решения;</w:t>
      </w:r>
    </w:p>
    <w:p w:rsidR="008B205A" w:rsidRDefault="00384465">
      <w:pPr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в) степень гармоничности сочетания проектируемого пространства с существующей средой;</w:t>
      </w:r>
    </w:p>
    <w:p w:rsidR="008B205A" w:rsidRDefault="00384465">
      <w:pPr>
        <w:tabs>
          <w:tab w:val="left" w:pos="709"/>
        </w:tabs>
        <w:spacing w:line="235" w:lineRule="auto"/>
        <w:ind w:firstLine="709"/>
        <w:jc w:val="both"/>
      </w:pPr>
      <w:bookmarkStart w:id="2" w:name="__DdeLink__871_1704942580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г) степень оригинальности техники исполнения конкурсной работы;</w:t>
      </w:r>
      <w:bookmarkEnd w:id="2"/>
    </w:p>
    <w:p w:rsidR="008B205A" w:rsidRDefault="00384465">
      <w:pPr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</w:t>
      </w:r>
      <w:bookmarkStart w:id="3" w:name="__DdeLink__321_32641998791"/>
      <w:r>
        <w:rPr>
          <w:rFonts w:ascii="PT Astra Serif" w:hAnsi="PT Astra Serif" w:cs="PT Astra Serif"/>
          <w:sz w:val="28"/>
          <w:szCs w:val="28"/>
        </w:rPr>
        <w:t>) степень функционального наполнения пространства;</w:t>
      </w:r>
      <w:bookmarkEnd w:id="3"/>
    </w:p>
    <w:p w:rsidR="008B205A" w:rsidRDefault="00384465">
      <w:pPr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е) степень </w:t>
      </w:r>
      <w:r>
        <w:rPr>
          <w:rFonts w:ascii="PT Astra Serif" w:hAnsi="PT Astra Serif" w:cs="PT Astra Serif"/>
          <w:sz w:val="28"/>
          <w:szCs w:val="28"/>
        </w:rPr>
        <w:t>доступности для маломобильных групп населения.</w:t>
      </w:r>
    </w:p>
    <w:p w:rsidR="008B205A" w:rsidRDefault="00384465">
      <w:pPr>
        <w:tabs>
          <w:tab w:val="left" w:pos="709"/>
        </w:tabs>
        <w:spacing w:line="228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2) для номинации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«Лучшее архитектурно-дизайнерское решение въездных знаков в Ленинский, Засвияжский, Железнодорожный и Заволжский районы города Ульяновска»:</w:t>
      </w:r>
    </w:p>
    <w:p w:rsidR="008B205A" w:rsidRDefault="00384465">
      <w:pPr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степень оригинальности архитектурно-планировочног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 решения пространства;</w:t>
      </w:r>
    </w:p>
    <w:p w:rsidR="008B205A" w:rsidRDefault="00384465">
      <w:pPr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б) степень выразительности архитектурно-художественного решения;</w:t>
      </w:r>
    </w:p>
    <w:p w:rsidR="008B205A" w:rsidRDefault="00384465">
      <w:pPr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в) степень гармоничности сочетания проектируемого пространства с существующей средой;</w:t>
      </w:r>
    </w:p>
    <w:p w:rsidR="008B205A" w:rsidRDefault="00384465">
      <w:pPr>
        <w:tabs>
          <w:tab w:val="left" w:pos="709"/>
        </w:tabs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г) степень оригинальности техники исполнения конкурсной работы.</w:t>
      </w:r>
    </w:p>
    <w:p w:rsidR="008B205A" w:rsidRDefault="00384465">
      <w:pPr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5.11. Число балло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в, выставленных всеми членами конкурсной комиссии               по итогам оценки конкурсной работы, суммируется и делится на число членов конкурсной комиссии, принявших участие в оценке конкурсной работы. Частное от указанного деления представляет собой ит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оговую сумму баллов, присвоенных конкурсной работе, и отражается в протоколе заседания конкурсной комиссии.</w:t>
      </w:r>
    </w:p>
    <w:p w:rsidR="008B205A" w:rsidRDefault="00384465">
      <w:pPr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5.12. Протокол заседания конкурсной комиссии направляется                         в Министерство не позднее первого рабочего дня, следующего за днём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его подписания всеми членами конкурсной комиссии, присутствовавшими            на заседании конкурсной комиссии.</w:t>
      </w:r>
    </w:p>
    <w:p w:rsidR="008B205A" w:rsidRDefault="00384465">
      <w:pPr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5.13. Итоговая сумма баллов по итогам Конкурса суммируется из итоговой суммы баллов по итогом оценки конкурсной комиссии и итоговой суммы балл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ов по итогам общественного рассмотрения на официальном сайте.</w:t>
      </w:r>
    </w:p>
    <w:p w:rsidR="008B205A" w:rsidRDefault="00384465">
      <w:pPr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5.14. Победителем Конкурса признаётся участник Конкурса, представлен-ная которым конкурсная работа в рейтинге конкурсных работ, сформированном в порядке убывания значений присвоенных им итоговых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сумм баллов по итогам Конкурса, заняла первое место.</w:t>
      </w:r>
    </w:p>
    <w:p w:rsidR="008B205A" w:rsidRDefault="00384465">
      <w:pPr>
        <w:spacing w:line="235" w:lineRule="auto"/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 случае равенства значений наибольших итоговых сумм баллов, присвоенных конкурсным работам, представленным двумя или более участниками Конкурса, победителем Конкурса признаются те участники Конкурса, п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редставленным которыми конкурсным работам было присвоено наибольшее количество баллов председательствующим на заседании конкурсной комиссии.</w:t>
      </w:r>
    </w:p>
    <w:p w:rsidR="008B205A" w:rsidRDefault="00384465">
      <w:pPr>
        <w:ind w:firstLine="709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5.15. Если конкурсной комиссией будет установлено, что только одна конкурсная работа подлежит дальнейшему рассмотре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нию в соответствии                   с пунктом 5.3 настоящего раздела, то в данном случае участник Конкурса признаётся победителем, если значение присвоенной представленной им конкурсной работе итоговой суммы баллов составляет не менее 3,5.</w:t>
      </w:r>
    </w:p>
    <w:p w:rsidR="008B205A" w:rsidRDefault="00384465">
      <w:pPr>
        <w:ind w:firstLine="68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5.16. Министерс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тво на основании итоговой суммы баллов по итогам Конкурса не позднее 5 рабочих дней со дня его поступления принимает решение об определении победителей Конкурса, которое оформляется распоряжением Министерства. Не позднее пяти рабочих дней со дня принятия у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казанного решения Министерство уведомляет о нём победителей Конкурса по номерам контактных телефонов или по адресам электронной почты, указанных в представленных ими заявках. В этот же срок информация о результатах Конкурса размещается на официальном сайте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</w:p>
    <w:p w:rsidR="008B205A" w:rsidRDefault="00384465">
      <w:pPr>
        <w:ind w:firstLine="680"/>
        <w:jc w:val="both"/>
      </w:pPr>
      <w:r>
        <w:rPr>
          <w:rFonts w:ascii="PT Astra Serif" w:hAnsi="PT Astra Serif" w:cs="PT Astra Serif"/>
          <w:sz w:val="28"/>
          <w:szCs w:val="28"/>
        </w:rPr>
        <w:t>5.17. Победителю Конкурса в каждой номинации Конкурса выплачивается денежная премия в размере тридцати тысяч рублей. Денежные премии перечисляются Министерством на счета, открытые победителями Конкурса в российских кредитных организациях, в течении сорок</w:t>
      </w:r>
      <w:r>
        <w:rPr>
          <w:rFonts w:ascii="PT Astra Serif" w:hAnsi="PT Astra Serif" w:cs="PT Astra Serif"/>
          <w:sz w:val="28"/>
          <w:szCs w:val="28"/>
        </w:rPr>
        <w:t>а пяти дней со дня принятия Министерством решения об определении победителей Конкурса на основании представленных победителями Конкурса документов, содержащих сведения о реквизитах открытых им счетов.</w:t>
      </w:r>
    </w:p>
    <w:p w:rsidR="008B205A" w:rsidRDefault="00384465">
      <w:pPr>
        <w:ind w:firstLine="680"/>
        <w:jc w:val="both"/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5.18. Конкурсные работы участникам Конкурса не возвраща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ются.</w:t>
      </w:r>
    </w:p>
    <w:p w:rsidR="008B205A" w:rsidRDefault="008B205A">
      <w:pPr>
        <w:ind w:firstLine="850"/>
        <w:jc w:val="both"/>
      </w:pPr>
    </w:p>
    <w:p w:rsidR="008B205A" w:rsidRDefault="008B205A">
      <w:pPr>
        <w:ind w:firstLine="850"/>
        <w:jc w:val="both"/>
        <w:rPr>
          <w:rFonts w:ascii="PT Astra Serif" w:hAnsi="PT Astra Serif" w:cs="PT Astra Serif"/>
          <w:sz w:val="28"/>
          <w:szCs w:val="28"/>
        </w:rPr>
      </w:pPr>
    </w:p>
    <w:p w:rsidR="008B205A" w:rsidRDefault="008B205A">
      <w:pPr>
        <w:ind w:firstLine="850"/>
        <w:jc w:val="both"/>
        <w:rPr>
          <w:rFonts w:ascii="PT Astra Serif" w:hAnsi="PT Astra Serif" w:cs="PT Astra Serif"/>
          <w:sz w:val="28"/>
          <w:szCs w:val="28"/>
        </w:rPr>
      </w:pPr>
    </w:p>
    <w:p w:rsidR="008B205A" w:rsidRDefault="00384465">
      <w:pPr>
        <w:shd w:val="clear" w:color="auto" w:fill="FFFFFF"/>
        <w:tabs>
          <w:tab w:val="left" w:pos="709"/>
        </w:tabs>
        <w:spacing w:line="228" w:lineRule="auto"/>
        <w:jc w:val="center"/>
        <w:sectPr w:rsidR="008B205A">
          <w:headerReference w:type="default" r:id="rId7"/>
          <w:headerReference w:type="first" r:id="rId8"/>
          <w:pgSz w:w="11906" w:h="16838"/>
          <w:pgMar w:top="1559" w:right="567" w:bottom="1134" w:left="1701" w:header="1134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 w:cs="PT Astra Serif"/>
          <w:color w:val="000000"/>
          <w:sz w:val="28"/>
          <w:szCs w:val="28"/>
        </w:rPr>
        <w:t>_______________</w:t>
      </w:r>
    </w:p>
    <w:p w:rsidR="008B205A" w:rsidRDefault="00384465">
      <w:pPr>
        <w:shd w:val="clear" w:color="auto" w:fill="FFFFFF"/>
        <w:spacing w:line="360" w:lineRule="auto"/>
        <w:ind w:left="7230"/>
        <w:jc w:val="center"/>
        <w:rPr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ПРИЛОЖЕНИЕ</w:t>
      </w:r>
    </w:p>
    <w:p w:rsidR="008B205A" w:rsidRDefault="00384465">
      <w:pPr>
        <w:shd w:val="clear" w:color="auto" w:fill="FFFFFF"/>
        <w:ind w:left="7230"/>
        <w:jc w:val="center"/>
        <w:rPr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к Положению</w:t>
      </w:r>
    </w:p>
    <w:p w:rsidR="008B205A" w:rsidRDefault="008B205A">
      <w:pPr>
        <w:shd w:val="clear" w:color="auto" w:fill="FFFFFF"/>
        <w:ind w:left="7230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8B205A">
      <w:pPr>
        <w:shd w:val="clear" w:color="auto" w:fill="FFFFFF"/>
        <w:tabs>
          <w:tab w:val="left" w:pos="1320"/>
        </w:tabs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8B205A">
      <w:pPr>
        <w:shd w:val="clear" w:color="auto" w:fill="FFFFFF"/>
        <w:tabs>
          <w:tab w:val="left" w:pos="1320"/>
        </w:tabs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38446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Заявка на участие </w:t>
      </w:r>
    </w:p>
    <w:p w:rsidR="008B205A" w:rsidRDefault="00384465">
      <w:pPr>
        <w:pStyle w:val="af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открытом молодёжном конкурсе на лучший</w:t>
      </w:r>
    </w:p>
    <w:p w:rsidR="008B205A" w:rsidRDefault="00384465">
      <w:pPr>
        <w:pStyle w:val="af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архитектурный проект «Город глазами </w:t>
      </w:r>
      <w:r>
        <w:rPr>
          <w:rFonts w:ascii="PT Astra Serif" w:hAnsi="PT Astra Serif"/>
          <w:b/>
          <w:sz w:val="28"/>
          <w:szCs w:val="28"/>
        </w:rPr>
        <w:t>молодых»</w:t>
      </w:r>
    </w:p>
    <w:p w:rsidR="008B205A" w:rsidRDefault="008B205A">
      <w:pPr>
        <w:jc w:val="both"/>
        <w:rPr>
          <w:rFonts w:ascii="PT Astra Serif" w:hAnsi="PT Astra Serif" w:cs="PT Astra Serif"/>
          <w:szCs w:val="28"/>
        </w:rPr>
      </w:pPr>
    </w:p>
    <w:p w:rsidR="008B205A" w:rsidRDefault="00384465">
      <w:pPr>
        <w:ind w:firstLine="850"/>
        <w:rPr>
          <w:sz w:val="28"/>
          <w:szCs w:val="28"/>
        </w:rPr>
      </w:pPr>
      <w:r>
        <w:rPr>
          <w:rFonts w:ascii="PT Astra Serif" w:hAnsi="PT Astra Serif" w:cs="PT Astra Serif"/>
          <w:sz w:val="27"/>
          <w:szCs w:val="27"/>
        </w:rPr>
        <w:t xml:space="preserve">Прошу зарегистрировать </w:t>
      </w: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8B205A" w:rsidRDefault="00384465">
      <w:pPr>
        <w:tabs>
          <w:tab w:val="left" w:pos="1701"/>
        </w:tabs>
        <w:jc w:val="center"/>
      </w:pPr>
      <w:r>
        <w:rPr>
          <w:rFonts w:ascii="PT Astra Serif" w:hAnsi="PT Astra Serif" w:cs="PT Astra Serif"/>
          <w:sz w:val="20"/>
          <w:szCs w:val="20"/>
        </w:rPr>
        <w:t>(фамилия, имя, отчество (при наличии)</w:t>
      </w:r>
    </w:p>
    <w:p w:rsidR="008B205A" w:rsidRDefault="00384465">
      <w:pPr>
        <w:jc w:val="both"/>
      </w:pPr>
      <w:r>
        <w:rPr>
          <w:rFonts w:ascii="PT Astra Serif" w:hAnsi="PT Astra Serif" w:cs="PT Astra Serif"/>
          <w:szCs w:val="28"/>
        </w:rPr>
        <w:t>________________________________________________________________________________________________________________________________________________________________</w:t>
      </w:r>
    </w:p>
    <w:p w:rsidR="008B205A" w:rsidRDefault="00384465">
      <w:pPr>
        <w:jc w:val="both"/>
        <w:rPr>
          <w:rFonts w:ascii="PT Astra Serif" w:hAnsi="PT Astra Serif" w:cs="PT Astra Serif"/>
          <w:iCs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как участника </w:t>
      </w:r>
      <w:r>
        <w:rPr>
          <w:rFonts w:ascii="PT Astra Serif" w:hAnsi="PT Astra Serif" w:cs="PT Astra Serif"/>
          <w:iCs/>
          <w:sz w:val="27"/>
          <w:szCs w:val="27"/>
        </w:rPr>
        <w:t>открытого молодёжного конкурса на лучший архитектурный проект «Город глазами моло</w:t>
      </w:r>
      <w:r>
        <w:rPr>
          <w:rFonts w:ascii="PT Astra Serif" w:hAnsi="PT Astra Serif" w:cs="PT Astra Serif"/>
          <w:iCs/>
          <w:sz w:val="27"/>
          <w:szCs w:val="27"/>
        </w:rPr>
        <w:t>дых» в номинации:</w:t>
      </w:r>
    </w:p>
    <w:p w:rsidR="008B205A" w:rsidRDefault="00384465">
      <w:pPr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«Лучшее решение уникального молодёжного пространства»;</w:t>
      </w:r>
    </w:p>
    <w:p w:rsidR="008B205A" w:rsidRDefault="00384465">
      <w:pPr>
        <w:jc w:val="both"/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«Лучшее архитектурно-дизайнерское решение въездных знаков в Ленинский, Засвияжский, Железнодорожный и Заволжский районы города Ульяновска»</w:t>
      </w:r>
      <w:r>
        <w:t>.</w:t>
      </w:r>
    </w:p>
    <w:p w:rsidR="008B205A" w:rsidRDefault="00384465">
      <w:pPr>
        <w:jc w:val="both"/>
      </w:pPr>
      <w:r>
        <w:rPr>
          <w:rFonts w:ascii="PT Astra Serif" w:hAnsi="PT Astra Serif" w:cs="PT Astra Serif"/>
          <w:color w:val="000000"/>
          <w:sz w:val="27"/>
          <w:szCs w:val="27"/>
        </w:rPr>
        <w:t xml:space="preserve">С Положением о проведении открытого молодёжного конкурса на лучший архитектурный проект «Город глазами молодых» участник конкурса ознакомлен и согласен   </w:t>
      </w:r>
      <w:r>
        <w:rPr>
          <w:rFonts w:ascii="PT Astra Serif" w:hAnsi="PT Astra Serif" w:cs="PT Astra Serif"/>
          <w:szCs w:val="28"/>
        </w:rPr>
        <w:t>_____________________________________________________________________</w:t>
      </w:r>
    </w:p>
    <w:p w:rsidR="008B205A" w:rsidRDefault="00384465">
      <w:pPr>
        <w:jc w:val="both"/>
      </w:pPr>
      <w:r>
        <w:rPr>
          <w:rFonts w:ascii="PT Astra Serif" w:hAnsi="PT Astra Serif" w:cs="PT Astra Serif"/>
          <w:sz w:val="27"/>
          <w:szCs w:val="27"/>
        </w:rPr>
        <w:t>Адрес участника:</w:t>
      </w:r>
      <w:r>
        <w:rPr>
          <w:rFonts w:ascii="PT Astra Serif" w:hAnsi="PT Astra Serif" w:cs="PT Astra Serif"/>
          <w:szCs w:val="28"/>
        </w:rPr>
        <w:t xml:space="preserve"> _______________</w:t>
      </w:r>
      <w:r>
        <w:rPr>
          <w:rFonts w:ascii="PT Astra Serif" w:hAnsi="PT Astra Serif" w:cs="PT Astra Serif"/>
          <w:szCs w:val="28"/>
        </w:rPr>
        <w:t>_______________________________________________</w:t>
      </w:r>
    </w:p>
    <w:p w:rsidR="008B205A" w:rsidRDefault="00384465">
      <w:pPr>
        <w:jc w:val="both"/>
      </w:pPr>
      <w:r>
        <w:rPr>
          <w:rFonts w:ascii="PT Astra Serif" w:hAnsi="PT Astra Serif" w:cs="PT Astra Serif"/>
          <w:szCs w:val="28"/>
        </w:rPr>
        <w:t>________________________________________________________________________________</w:t>
      </w:r>
    </w:p>
    <w:p w:rsidR="008B205A" w:rsidRDefault="008B205A">
      <w:pPr>
        <w:jc w:val="both"/>
        <w:rPr>
          <w:rFonts w:ascii="PT Astra Serif" w:hAnsi="PT Astra Serif" w:cs="PT Astra Serif"/>
          <w:sz w:val="20"/>
          <w:szCs w:val="20"/>
        </w:rPr>
      </w:pPr>
    </w:p>
    <w:p w:rsidR="008B205A" w:rsidRDefault="00384465">
      <w:pPr>
        <w:rPr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Номер контактного телефона, адрес электронной почты участника_____________ ___________________________________________________</w:t>
      </w:r>
      <w:r>
        <w:rPr>
          <w:rFonts w:ascii="PT Astra Serif" w:hAnsi="PT Astra Serif" w:cs="PT Astra Serif"/>
          <w:sz w:val="27"/>
          <w:szCs w:val="27"/>
        </w:rPr>
        <w:t>____________________</w:t>
      </w:r>
    </w:p>
    <w:p w:rsidR="008B205A" w:rsidRDefault="00384465">
      <w:pPr>
        <w:jc w:val="both"/>
      </w:pPr>
      <w:r>
        <w:rPr>
          <w:rFonts w:ascii="PT Astra Serif" w:hAnsi="PT Astra Serif" w:cs="PT Astra Serif"/>
          <w:sz w:val="27"/>
          <w:szCs w:val="27"/>
        </w:rPr>
        <w:t xml:space="preserve">Образование:___________________________________________________________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/>
          <w:sz w:val="27"/>
          <w:szCs w:val="27"/>
        </w:rPr>
        <w:t xml:space="preserve">    </w:t>
      </w:r>
      <w:r>
        <w:rPr>
          <w:rFonts w:ascii="PT Astra Serif" w:hAnsi="PT Astra Serif" w:cs="PT Astra Serif"/>
          <w:color w:val="FFFFFF"/>
          <w:sz w:val="20"/>
          <w:szCs w:val="20"/>
        </w:rPr>
        <w:t xml:space="preserve">(    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(страна, город, год окончания, наименование организации, </w:t>
      </w:r>
    </w:p>
    <w:p w:rsidR="008B205A" w:rsidRDefault="00384465">
      <w:pPr>
        <w:jc w:val="both"/>
      </w:pPr>
      <w:r>
        <w:rPr>
          <w:rFonts w:ascii="PT Astra Serif" w:hAnsi="PT Astra Serif" w:cs="PT Astra Serif"/>
          <w:sz w:val="20"/>
          <w:szCs w:val="20"/>
        </w:rPr>
        <w:t>осуществляющей образовательную деятельность, специальность)</w:t>
      </w:r>
    </w:p>
    <w:p w:rsidR="008B205A" w:rsidRDefault="00384465"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</w:t>
      </w:r>
      <w:r>
        <w:rPr>
          <w:rFonts w:ascii="PT Astra Serif" w:hAnsi="PT Astra Serif" w:cs="PT Astra Serif"/>
          <w:sz w:val="28"/>
          <w:szCs w:val="28"/>
        </w:rPr>
        <w:t>______________________________________________</w:t>
      </w:r>
    </w:p>
    <w:p w:rsidR="008B205A" w:rsidRDefault="00384465">
      <w:pPr>
        <w:tabs>
          <w:tab w:val="left" w:pos="735"/>
        </w:tabs>
        <w:jc w:val="both"/>
      </w:pPr>
      <w:r>
        <w:rPr>
          <w:rFonts w:ascii="PT Astra Serif" w:hAnsi="PT Astra Serif" w:cs="PT Astra Serif"/>
        </w:rPr>
        <w:tab/>
      </w:r>
    </w:p>
    <w:p w:rsidR="008B205A" w:rsidRDefault="00384465">
      <w:pPr>
        <w:tabs>
          <w:tab w:val="left" w:pos="735"/>
        </w:tabs>
        <w:ind w:firstLine="850"/>
        <w:jc w:val="both"/>
      </w:pPr>
      <w:r>
        <w:rPr>
          <w:rFonts w:ascii="PT Astra Serif" w:hAnsi="PT Astra Serif" w:cs="PT Astra Serif"/>
          <w:sz w:val="27"/>
          <w:szCs w:val="27"/>
        </w:rPr>
        <w:t>Конкурсная работа после завершения конкурса могут использоваться организатором в некоммерческих целях в средствах массовой информации, информационно-телекоммуникационной сети «Интернет» и для публикаций с це</w:t>
      </w:r>
      <w:r>
        <w:rPr>
          <w:rFonts w:ascii="PT Astra Serif" w:hAnsi="PT Astra Serif" w:cs="PT Astra Serif"/>
          <w:sz w:val="27"/>
          <w:szCs w:val="27"/>
        </w:rPr>
        <w:t>лью распространения информации о конкурсе без дополнительного вознаграждения и согласования со мной.</w:t>
      </w:r>
    </w:p>
    <w:p w:rsidR="008B205A" w:rsidRDefault="00384465">
      <w:pPr>
        <w:ind w:firstLine="850"/>
        <w:jc w:val="both"/>
        <w:rPr>
          <w:sz w:val="27"/>
          <w:szCs w:val="27"/>
        </w:rPr>
      </w:pPr>
      <w:r>
        <w:rPr>
          <w:rFonts w:ascii="PT Astra Serif" w:eastAsia="Times New Roman" w:hAnsi="PT Astra Serif" w:cs="PT Astra Serif"/>
          <w:sz w:val="27"/>
          <w:szCs w:val="27"/>
        </w:rPr>
        <w:t xml:space="preserve">Даю </w:t>
      </w:r>
      <w:r>
        <w:rPr>
          <w:rFonts w:ascii="PT Astra Serif" w:hAnsi="PT Astra Serif" w:cs="PT Astra Serif"/>
          <w:sz w:val="27"/>
          <w:szCs w:val="27"/>
        </w:rPr>
        <w:t>согласие на обработку персональных данных для целей, связанных       с проведение Конкурса. Настоящее согласие действует со дня его подписания       до</w:t>
      </w:r>
      <w:r>
        <w:rPr>
          <w:rFonts w:ascii="PT Astra Serif" w:hAnsi="PT Astra Serif" w:cs="PT Astra Serif"/>
          <w:sz w:val="27"/>
          <w:szCs w:val="27"/>
        </w:rPr>
        <w:t xml:space="preserve"> момента его отзыва. </w:t>
      </w:r>
      <w:r>
        <w:rPr>
          <w:rFonts w:ascii="PT Astra Serif" w:hAnsi="PT Astra Serif" w:cs="PT Astra Serif"/>
          <w:color w:val="000000"/>
          <w:sz w:val="27"/>
          <w:szCs w:val="27"/>
        </w:rPr>
        <w:t xml:space="preserve">Полноту и достоверность указанных сведений гарантирую. </w:t>
      </w:r>
    </w:p>
    <w:p w:rsidR="008B205A" w:rsidRDefault="008B205A">
      <w:pPr>
        <w:jc w:val="both"/>
        <w:rPr>
          <w:rFonts w:ascii="PT Astra Serif" w:hAnsi="PT Astra Serif" w:cs="PT Astra Serif"/>
          <w:sz w:val="27"/>
          <w:szCs w:val="27"/>
        </w:rPr>
      </w:pPr>
    </w:p>
    <w:p w:rsidR="008B205A" w:rsidRDefault="00384465">
      <w:pPr>
        <w:jc w:val="both"/>
        <w:rPr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>«____» ____________ 20___ г.                 _____________________________________</w:t>
      </w:r>
    </w:p>
    <w:p w:rsidR="008B205A" w:rsidRDefault="00384465">
      <w:pPr>
        <w:jc w:val="center"/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</w:t>
      </w:r>
      <w:r>
        <w:rPr>
          <w:rFonts w:ascii="PT Astra Serif" w:hAnsi="PT Astra Serif" w:cs="PT Astra Serif"/>
          <w:color w:val="000000"/>
          <w:sz w:val="20"/>
          <w:szCs w:val="20"/>
        </w:rPr>
        <w:t>подпись)</w:t>
      </w:r>
    </w:p>
    <w:p w:rsidR="008B205A" w:rsidRDefault="008B205A">
      <w:pPr>
        <w:shd w:val="clear" w:color="auto" w:fill="FFFFFF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8B205A">
      <w:pPr>
        <w:shd w:val="clear" w:color="auto" w:fill="FFFFFF"/>
        <w:tabs>
          <w:tab w:val="left" w:pos="1320"/>
        </w:tabs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8B205A">
      <w:pPr>
        <w:shd w:val="clear" w:color="auto" w:fill="FFFFFF"/>
        <w:tabs>
          <w:tab w:val="left" w:pos="1320"/>
        </w:tabs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8B205A" w:rsidRDefault="008B205A">
      <w:pPr>
        <w:shd w:val="clear" w:color="auto" w:fill="FFFFFF"/>
        <w:tabs>
          <w:tab w:val="left" w:pos="1320"/>
        </w:tabs>
        <w:jc w:val="both"/>
      </w:pPr>
      <w:r>
        <w:pict>
          <v:line id="Прямая соединительная линия 3" o:spid="_x0000_s1026" style="position:absolute;left:0;text-align:left;z-index:251657728" from="174.3pt,9.25pt" to="262.9pt,9.25pt" strokeweight=".18mm">
            <v:fill o:detectmouseclick="t"/>
            <v:stroke joinstyle="miter"/>
          </v:line>
        </w:pict>
      </w:r>
    </w:p>
    <w:sectPr w:rsidR="008B205A" w:rsidSect="008B205A">
      <w:headerReference w:type="default" r:id="rId9"/>
      <w:headerReference w:type="first" r:id="rId10"/>
      <w:pgSz w:w="11906" w:h="16838"/>
      <w:pgMar w:top="1134" w:right="680" w:bottom="709" w:left="1588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65" w:rsidRDefault="00384465" w:rsidP="008B205A">
      <w:r>
        <w:separator/>
      </w:r>
    </w:p>
  </w:endnote>
  <w:endnote w:type="continuationSeparator" w:id="1">
    <w:p w:rsidR="00384465" w:rsidRDefault="00384465" w:rsidP="008B2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65" w:rsidRDefault="00384465" w:rsidP="008B205A">
      <w:r>
        <w:separator/>
      </w:r>
    </w:p>
  </w:footnote>
  <w:footnote w:type="continuationSeparator" w:id="1">
    <w:p w:rsidR="00384465" w:rsidRDefault="00384465" w:rsidP="008B2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568159"/>
      <w:docPartObj>
        <w:docPartGallery w:val="Page Numbers (Top of Page)"/>
        <w:docPartUnique/>
      </w:docPartObj>
    </w:sdtPr>
    <w:sdtContent>
      <w:p w:rsidR="008B205A" w:rsidRDefault="008B205A">
        <w:pPr>
          <w:pStyle w:val="Header"/>
          <w:jc w:val="center"/>
        </w:pPr>
        <w:r>
          <w:rPr>
            <w:rFonts w:ascii="PT Astra Serif" w:hAnsi="PT Astra Serif"/>
          </w:rPr>
          <w:fldChar w:fldCharType="begin"/>
        </w:r>
        <w:r w:rsidR="00384465">
          <w:rPr>
            <w:rFonts w:ascii="PT Astra Serif" w:hAnsi="PT Astra Serif"/>
          </w:rPr>
          <w:instrText>PAGE</w:instrText>
        </w:r>
        <w:r>
          <w:rPr>
            <w:rFonts w:ascii="PT Astra Serif" w:hAnsi="PT Astra Serif"/>
          </w:rPr>
          <w:fldChar w:fldCharType="separate"/>
        </w:r>
        <w:r w:rsidR="00384465">
          <w:rPr>
            <w:rFonts w:ascii="PT Astra Serif" w:hAnsi="PT Astra Serif"/>
          </w:rPr>
          <w:t>6</w:t>
        </w:r>
        <w:r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39777"/>
      <w:docPartObj>
        <w:docPartGallery w:val="Page Numbers (Top of Page)"/>
        <w:docPartUnique/>
      </w:docPartObj>
    </w:sdtPr>
    <w:sdtContent>
      <w:p w:rsidR="008B205A" w:rsidRDefault="008B205A">
        <w:pPr>
          <w:pStyle w:val="Header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5A" w:rsidRDefault="008B205A">
    <w:pPr>
      <w:pStyle w:val="Header"/>
      <w:jc w:val="center"/>
    </w:pPr>
    <w:r>
      <w:rPr>
        <w:sz w:val="28"/>
        <w:szCs w:val="28"/>
      </w:rPr>
      <w:fldChar w:fldCharType="begin"/>
    </w:r>
    <w:r w:rsidR="00384465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384465"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5A" w:rsidRDefault="008B205A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205A"/>
    <w:rsid w:val="00384465"/>
    <w:rsid w:val="00727D41"/>
    <w:rsid w:val="008B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8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697BB8"/>
  </w:style>
  <w:style w:type="character" w:customStyle="1" w:styleId="1">
    <w:name w:val="Основной шрифт абзаца1"/>
    <w:qFormat/>
    <w:rsid w:val="00697BB8"/>
  </w:style>
  <w:style w:type="character" w:customStyle="1" w:styleId="HeaderChar">
    <w:name w:val="Header Char"/>
    <w:qFormat/>
    <w:rsid w:val="00697BB8"/>
    <w:rPr>
      <w:rFonts w:ascii="Times New Roman" w:hAnsi="Times New Roman" w:cs="Times New Roman"/>
      <w:sz w:val="24"/>
      <w:szCs w:val="24"/>
    </w:rPr>
  </w:style>
  <w:style w:type="character" w:styleId="a3">
    <w:name w:val="page number"/>
    <w:qFormat/>
    <w:rsid w:val="00697BB8"/>
    <w:rPr>
      <w:rFonts w:cs="Times New Roman"/>
    </w:rPr>
  </w:style>
  <w:style w:type="character" w:customStyle="1" w:styleId="BodyTextChar">
    <w:name w:val="Body Text Char"/>
    <w:qFormat/>
    <w:rsid w:val="00697BB8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qFormat/>
    <w:rsid w:val="00697BB8"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sid w:val="00697BB8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697BB8"/>
    <w:rPr>
      <w:color w:val="000080"/>
      <w:u w:val="single"/>
    </w:rPr>
  </w:style>
  <w:style w:type="character" w:customStyle="1" w:styleId="ListLabel1">
    <w:name w:val="ListLabel 1"/>
    <w:qFormat/>
    <w:rsid w:val="00DB74FD"/>
    <w:rPr>
      <w:color w:val="000000"/>
      <w:spacing w:val="2"/>
      <w:sz w:val="28"/>
      <w:szCs w:val="28"/>
    </w:rPr>
  </w:style>
  <w:style w:type="character" w:customStyle="1" w:styleId="a4">
    <w:name w:val="Верхний колонтитул Знак"/>
    <w:basedOn w:val="a0"/>
    <w:uiPriority w:val="99"/>
    <w:qFormat/>
    <w:rsid w:val="004571B5"/>
    <w:rPr>
      <w:rFonts w:eastAsia="Calibri"/>
      <w:sz w:val="24"/>
      <w:szCs w:val="24"/>
      <w:lang w:eastAsia="zh-CN"/>
    </w:rPr>
  </w:style>
  <w:style w:type="character" w:styleId="a5">
    <w:name w:val="Placeholder Text"/>
    <w:basedOn w:val="a0"/>
    <w:uiPriority w:val="99"/>
    <w:semiHidden/>
    <w:qFormat/>
    <w:rsid w:val="00463295"/>
    <w:rPr>
      <w:color w:val="808080"/>
    </w:rPr>
  </w:style>
  <w:style w:type="character" w:customStyle="1" w:styleId="10">
    <w:name w:val="Верхний колонтитул Знак1"/>
    <w:basedOn w:val="a0"/>
    <w:uiPriority w:val="99"/>
    <w:semiHidden/>
    <w:qFormat/>
    <w:rsid w:val="00E12671"/>
    <w:rPr>
      <w:rFonts w:eastAsia="Calibri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uiPriority w:val="99"/>
    <w:semiHidden/>
    <w:qFormat/>
    <w:rsid w:val="00E12671"/>
    <w:rPr>
      <w:rFonts w:eastAsia="Calibri"/>
      <w:sz w:val="24"/>
      <w:szCs w:val="24"/>
      <w:lang w:eastAsia="zh-CN"/>
    </w:rPr>
  </w:style>
  <w:style w:type="character" w:customStyle="1" w:styleId="20">
    <w:name w:val="Верхний колонтитул Знак2"/>
    <w:basedOn w:val="a0"/>
    <w:link w:val="Header"/>
    <w:uiPriority w:val="99"/>
    <w:semiHidden/>
    <w:qFormat/>
    <w:rsid w:val="00E742AF"/>
    <w:rPr>
      <w:rFonts w:eastAsia="Calibri"/>
      <w:sz w:val="24"/>
      <w:szCs w:val="24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qFormat/>
    <w:rsid w:val="00E742AF"/>
    <w:rPr>
      <w:rFonts w:eastAsia="Calibri"/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rsid w:val="00697B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97BB8"/>
    <w:pPr>
      <w:spacing w:after="120"/>
    </w:pPr>
  </w:style>
  <w:style w:type="paragraph" w:styleId="a9">
    <w:name w:val="List"/>
    <w:basedOn w:val="a8"/>
    <w:rsid w:val="00697BB8"/>
    <w:rPr>
      <w:rFonts w:cs="Arial"/>
    </w:rPr>
  </w:style>
  <w:style w:type="paragraph" w:customStyle="1" w:styleId="Caption">
    <w:name w:val="Caption"/>
    <w:basedOn w:val="a"/>
    <w:qFormat/>
    <w:rsid w:val="00697BB8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697BB8"/>
    <w:pPr>
      <w:suppressLineNumbers/>
    </w:pPr>
    <w:rPr>
      <w:rFonts w:cs="Arial"/>
    </w:rPr>
  </w:style>
  <w:style w:type="paragraph" w:styleId="ab">
    <w:name w:val="Title"/>
    <w:basedOn w:val="a"/>
    <w:next w:val="a8"/>
    <w:qFormat/>
    <w:rsid w:val="00697B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caption"/>
    <w:basedOn w:val="a"/>
    <w:qFormat/>
    <w:rsid w:val="00697BB8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Заголовок1"/>
    <w:basedOn w:val="a"/>
    <w:next w:val="a8"/>
    <w:qFormat/>
    <w:rsid w:val="00697B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">
    <w:name w:val="Указатель2"/>
    <w:basedOn w:val="a"/>
    <w:qFormat/>
    <w:rsid w:val="00697BB8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link w:val="Footer"/>
    <w:qFormat/>
    <w:rsid w:val="00697BB8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qFormat/>
    <w:rsid w:val="00697BB8"/>
    <w:pPr>
      <w:suppressLineNumbers/>
    </w:pPr>
    <w:rPr>
      <w:rFonts w:cs="Arial"/>
    </w:rPr>
  </w:style>
  <w:style w:type="paragraph" w:customStyle="1" w:styleId="Header">
    <w:name w:val="Header"/>
    <w:basedOn w:val="a"/>
    <w:link w:val="20"/>
    <w:uiPriority w:val="99"/>
    <w:semiHidden/>
    <w:unhideWhenUsed/>
    <w:rsid w:val="00E742AF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sid w:val="00697BB8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13"/>
    <w:uiPriority w:val="99"/>
    <w:semiHidden/>
    <w:unhideWhenUsed/>
    <w:rsid w:val="00E742AF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rsid w:val="00697BB8"/>
    <w:pPr>
      <w:suppressLineNumbers/>
    </w:pPr>
  </w:style>
  <w:style w:type="paragraph" w:customStyle="1" w:styleId="af">
    <w:name w:val="Заголовок таблицы"/>
    <w:basedOn w:val="ae"/>
    <w:qFormat/>
    <w:rsid w:val="00697BB8"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  <w:rsid w:val="00697BB8"/>
  </w:style>
  <w:style w:type="paragraph" w:customStyle="1" w:styleId="af1">
    <w:name w:val="Верхний колонтитул слева"/>
    <w:basedOn w:val="a"/>
    <w:qFormat/>
    <w:rsid w:val="00697BB8"/>
    <w:pPr>
      <w:suppressLineNumbers/>
      <w:tabs>
        <w:tab w:val="center" w:pos="4819"/>
        <w:tab w:val="right" w:pos="9638"/>
      </w:tabs>
    </w:pPr>
  </w:style>
  <w:style w:type="paragraph" w:styleId="af2">
    <w:name w:val="No Spacing"/>
    <w:uiPriority w:val="1"/>
    <w:qFormat/>
    <w:rsid w:val="00DB74FD"/>
    <w:rPr>
      <w:rFonts w:ascii="Calibri" w:hAnsi="Calibri"/>
      <w:color w:val="000000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B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5807B89-B34E-4CB3-A4D7-05A52336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2513</Words>
  <Characters>14330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28.08.2018 N 396-П"Об областном конкурсе "Архитектурно-художественное оформление общественных пространств "Территория искусств"(вместе с "Положением о проведении областного конкурса "Архитектурно-художественное оформление общественных пространств "Территория искусств")</dc:title>
  <dc:creator>1</dc:creator>
  <cp:lastModifiedBy>Olga Brenduk</cp:lastModifiedBy>
  <cp:revision>2</cp:revision>
  <cp:lastPrinted>2020-04-16T14:58:00Z</cp:lastPrinted>
  <dcterms:created xsi:type="dcterms:W3CDTF">2020-04-28T03:44:00Z</dcterms:created>
  <dcterms:modified xsi:type="dcterms:W3CDTF">2020-04-28T03:44:00Z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