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E9" w:rsidRPr="00F700EB" w:rsidRDefault="00FD42E9" w:rsidP="00FD42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42E9" w:rsidRDefault="00FD42E9" w:rsidP="00FD4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Pr="00F700EB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F700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D42E9" w:rsidRDefault="00FD42E9" w:rsidP="00FD4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42E9" w:rsidRDefault="00FD42E9" w:rsidP="00FD4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E9" w:rsidRDefault="00FD42E9" w:rsidP="00FD4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E9" w:rsidRDefault="00FD42E9" w:rsidP="00FD42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D42E9" w:rsidRDefault="00FD42E9" w:rsidP="00FD42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D42E9" w:rsidRDefault="00FD42E9" w:rsidP="00FD42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D42E9" w:rsidRDefault="00FD42E9" w:rsidP="00FD42E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Hlk34741363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Правил предоставления </w:t>
      </w:r>
      <w:r w:rsidRPr="00846D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иных дотаций из областного бюджета Ульяновской области бюджетам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846D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поселений и городских округов Ульяновской области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являющихся</w:t>
      </w:r>
      <w:r w:rsidRPr="00846D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победителям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Pr="00846D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регионального этапа Всероссийского конкурса «Лучшая муниципальная практика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bookmarkEnd w:id="0"/>
    </w:p>
    <w:p w:rsidR="00FD42E9" w:rsidRDefault="00FD42E9" w:rsidP="00FD42E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42E9" w:rsidRDefault="00FD42E9" w:rsidP="00FD42E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42E9" w:rsidRPr="00F700EB" w:rsidRDefault="00FD42E9" w:rsidP="00FD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138</w:t>
      </w:r>
      <w:r w:rsidRPr="004859F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обеспечения реализации постановления Губернатора Ульяновской области от 16.03.2017 № 30 </w:t>
      </w:r>
      <w:r w:rsidRPr="00DE6AD7">
        <w:rPr>
          <w:rFonts w:ascii="Times New Roman" w:hAnsi="Times New Roman" w:cs="Times New Roman"/>
          <w:sz w:val="28"/>
          <w:szCs w:val="28"/>
        </w:rPr>
        <w:t>«О порядке проведения регионального этапа Всероссийского конкурса 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 п </w:t>
      </w:r>
      <w:r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A65FEB">
        <w:rPr>
          <w:rFonts w:ascii="Times New Roman" w:hAnsi="Times New Roman" w:cs="Times New Roman"/>
          <w:sz w:val="28"/>
          <w:szCs w:val="28"/>
        </w:rPr>
        <w:t>:</w:t>
      </w:r>
    </w:p>
    <w:p w:rsidR="00FD42E9" w:rsidRPr="001C523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 w:rsidRPr="001C5239">
        <w:rPr>
          <w:rFonts w:ascii="PT Astra Serif" w:hAnsi="PT Astra Serif" w:cs="Times New Roman"/>
          <w:b w:val="0"/>
          <w:bCs/>
          <w:sz w:val="28"/>
          <w:szCs w:val="28"/>
        </w:rPr>
        <w:t xml:space="preserve">1. 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Утвердить прилагаемые Правила предоставления иных дотаций </w:t>
      </w:r>
      <w:r w:rsidR="00CB5345">
        <w:rPr>
          <w:rFonts w:ascii="PT Astra Serif" w:hAnsi="PT Astra Serif" w:cs="Times New Roman"/>
          <w:b w:val="0"/>
          <w:bCs/>
          <w:sz w:val="28"/>
          <w:szCs w:val="28"/>
        </w:rPr>
        <w:br/>
      </w:r>
      <w:r>
        <w:rPr>
          <w:rFonts w:ascii="PT Astra Serif" w:hAnsi="PT Astra Serif" w:cs="Times New Roman"/>
          <w:b w:val="0"/>
          <w:bCs/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области, являющихся победителями регионального этапа Всероссийского конкурса «Лучшая муниципальная практика».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2</w:t>
      </w:r>
      <w:r w:rsidRPr="001C5239">
        <w:rPr>
          <w:rFonts w:ascii="PT Astra Serif" w:hAnsi="PT Astra Serif" w:cs="Times New Roman"/>
          <w:b w:val="0"/>
          <w:bCs/>
          <w:sz w:val="28"/>
          <w:szCs w:val="28"/>
        </w:rPr>
        <w:t>. Настоящее постановление вступает в силу с 1 января 202</w:t>
      </w:r>
      <w:r>
        <w:rPr>
          <w:rFonts w:ascii="PT Astra Serif" w:hAnsi="PT Astra Serif" w:cs="Times New Roman"/>
          <w:b w:val="0"/>
          <w:bCs/>
          <w:sz w:val="28"/>
          <w:szCs w:val="28"/>
        </w:rPr>
        <w:t>1</w:t>
      </w:r>
      <w:r w:rsidRPr="001C5239">
        <w:rPr>
          <w:rFonts w:ascii="PT Astra Serif" w:hAnsi="PT Astra Serif" w:cs="Times New Roman"/>
          <w:b w:val="0"/>
          <w:bCs/>
          <w:sz w:val="28"/>
          <w:szCs w:val="28"/>
        </w:rPr>
        <w:t xml:space="preserve"> года.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Председатель Правительства</w:t>
      </w:r>
    </w:p>
    <w:p w:rsidR="00FD42E9" w:rsidRDefault="00FD42E9" w:rsidP="00FD42E9">
      <w:pPr>
        <w:pStyle w:val="ConsPlusTitle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области</w:t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</w:r>
      <w:r>
        <w:rPr>
          <w:rFonts w:ascii="PT Astra Serif" w:hAnsi="PT Astra Serif" w:cs="Times New Roman"/>
          <w:b w:val="0"/>
          <w:bCs/>
          <w:sz w:val="28"/>
          <w:szCs w:val="28"/>
        </w:rPr>
        <w:tab/>
        <w:t xml:space="preserve">           А.А.Смекалин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  <w:sectPr w:rsidR="00FD42E9" w:rsidSect="00863B3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42E9" w:rsidRDefault="00FD42E9" w:rsidP="00FD42E9">
      <w:pPr>
        <w:pStyle w:val="ConsPlusTitle"/>
        <w:ind w:left="5529"/>
        <w:jc w:val="center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lastRenderedPageBreak/>
        <w:t>УТВЕРЖДЕНЫ</w:t>
      </w:r>
    </w:p>
    <w:p w:rsidR="00FD42E9" w:rsidRDefault="00FD42E9" w:rsidP="00FD42E9">
      <w:pPr>
        <w:pStyle w:val="ConsPlusTitle"/>
        <w:ind w:left="5529"/>
        <w:jc w:val="center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left="5529"/>
        <w:jc w:val="center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постановлением Правительства</w:t>
      </w:r>
    </w:p>
    <w:p w:rsidR="00FD42E9" w:rsidRDefault="00FD42E9" w:rsidP="00FD42E9">
      <w:pPr>
        <w:pStyle w:val="ConsPlusTitle"/>
        <w:ind w:left="5529"/>
        <w:jc w:val="center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Ульяновской области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Pr="00002DF4" w:rsidRDefault="00FD42E9" w:rsidP="00FD42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02DF4">
        <w:rPr>
          <w:rFonts w:ascii="PT Astra Serif" w:hAnsi="PT Astra Serif" w:cs="Times New Roman"/>
          <w:sz w:val="28"/>
          <w:szCs w:val="28"/>
        </w:rPr>
        <w:t>ПРАВИЛА</w:t>
      </w:r>
    </w:p>
    <w:p w:rsidR="00FD42E9" w:rsidRPr="00002DF4" w:rsidRDefault="00FD42E9" w:rsidP="00FD42E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02DF4">
        <w:rPr>
          <w:rFonts w:ascii="PT Astra Serif" w:hAnsi="PT Astra Serif" w:cs="Times New Roman"/>
          <w:sz w:val="28"/>
          <w:szCs w:val="28"/>
        </w:rPr>
        <w:t>предоставления иных дотаций из областного бюджета Ульяновской области бюджетам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02DF4">
        <w:rPr>
          <w:rFonts w:ascii="PT Astra Serif" w:hAnsi="PT Astra Serif" w:cs="Times New Roman"/>
          <w:sz w:val="28"/>
          <w:szCs w:val="28"/>
        </w:rPr>
        <w:t>поселений и городских округов Ульяновской области</w:t>
      </w:r>
      <w:r>
        <w:rPr>
          <w:rFonts w:ascii="PT Astra Serif" w:hAnsi="PT Astra Serif" w:cs="Times New Roman"/>
          <w:sz w:val="28"/>
          <w:szCs w:val="28"/>
        </w:rPr>
        <w:t>, являющихся</w:t>
      </w:r>
      <w:r w:rsidRPr="00002DF4">
        <w:rPr>
          <w:rFonts w:ascii="PT Astra Serif" w:hAnsi="PT Astra Serif" w:cs="Times New Roman"/>
          <w:sz w:val="28"/>
          <w:szCs w:val="28"/>
        </w:rPr>
        <w:t xml:space="preserve"> победителям</w:t>
      </w:r>
      <w:r>
        <w:rPr>
          <w:rFonts w:ascii="PT Astra Serif" w:hAnsi="PT Astra Serif" w:cs="Times New Roman"/>
          <w:sz w:val="28"/>
          <w:szCs w:val="28"/>
        </w:rPr>
        <w:t>и</w:t>
      </w:r>
      <w:r w:rsidRPr="00002DF4">
        <w:rPr>
          <w:rFonts w:ascii="PT Astra Serif" w:hAnsi="PT Astra Serif" w:cs="Times New Roman"/>
          <w:sz w:val="28"/>
          <w:szCs w:val="28"/>
        </w:rPr>
        <w:t xml:space="preserve"> регионального этапа Всероссийского конкурса «Лучшая муниципальная практика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BC5E5A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 xml:space="preserve">1. Настоящие Правила устанавливают </w:t>
      </w:r>
      <w:bookmarkStart w:id="1" w:name="_Hlk34741082"/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>порядок предоставления и методику распределения иных дотаций из областн</w:t>
      </w:r>
      <w:r w:rsidR="00BC5E5A">
        <w:rPr>
          <w:rFonts w:ascii="PT Astra Serif" w:hAnsi="PT Astra Serif" w:cs="Times New Roman"/>
          <w:b w:val="0"/>
          <w:bCs/>
          <w:sz w:val="28"/>
          <w:szCs w:val="28"/>
        </w:rPr>
        <w:t>ого бюджета Ульяновской области</w:t>
      </w:r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Pr="004F1DDC">
        <w:rPr>
          <w:rFonts w:ascii="PT Astra Serif" w:hAnsi="PT Astra Serif" w:cs="Times New Roman"/>
          <w:b w:val="0"/>
          <w:bCs/>
          <w:sz w:val="28"/>
          <w:szCs w:val="28"/>
        </w:rPr>
        <w:t>бюджетам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Pr="004F1DDC">
        <w:rPr>
          <w:rFonts w:ascii="PT Astra Serif" w:hAnsi="PT Astra Serif" w:cs="Times New Roman"/>
          <w:b w:val="0"/>
          <w:bCs/>
          <w:sz w:val="28"/>
          <w:szCs w:val="28"/>
        </w:rPr>
        <w:t>поселений и городских округов Ульяновской области</w:t>
      </w:r>
      <w:r>
        <w:rPr>
          <w:rFonts w:ascii="PT Astra Serif" w:hAnsi="PT Astra Serif" w:cs="Times New Roman"/>
          <w:b w:val="0"/>
          <w:bCs/>
          <w:sz w:val="28"/>
          <w:szCs w:val="28"/>
        </w:rPr>
        <w:t>, являющихся</w:t>
      </w:r>
      <w:r w:rsidRPr="004F1DDC">
        <w:rPr>
          <w:rFonts w:ascii="PT Astra Serif" w:hAnsi="PT Astra Serif" w:cs="Times New Roman"/>
          <w:b w:val="0"/>
          <w:bCs/>
          <w:sz w:val="28"/>
          <w:szCs w:val="28"/>
        </w:rPr>
        <w:t xml:space="preserve"> победителям</w:t>
      </w:r>
      <w:r>
        <w:rPr>
          <w:rFonts w:ascii="PT Astra Serif" w:hAnsi="PT Astra Serif" w:cs="Times New Roman"/>
          <w:b w:val="0"/>
          <w:bCs/>
          <w:sz w:val="28"/>
          <w:szCs w:val="28"/>
        </w:rPr>
        <w:t>и</w:t>
      </w:r>
      <w:r w:rsidRPr="004F1DDC">
        <w:rPr>
          <w:rFonts w:ascii="PT Astra Serif" w:hAnsi="PT Astra Serif" w:cs="Times New Roman"/>
          <w:b w:val="0"/>
          <w:bCs/>
          <w:sz w:val="28"/>
          <w:szCs w:val="28"/>
        </w:rPr>
        <w:t xml:space="preserve"> регионального этапа Всероссийского конкурса «Лучшая муниципальная практика</w:t>
      </w:r>
      <w:r>
        <w:rPr>
          <w:rFonts w:ascii="PT Astra Serif" w:hAnsi="PT Astra Serif" w:cs="Times New Roman"/>
          <w:b w:val="0"/>
          <w:bCs/>
          <w:sz w:val="28"/>
          <w:szCs w:val="28"/>
        </w:rPr>
        <w:t>»</w:t>
      </w:r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bookmarkEnd w:id="1"/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>(далее</w:t>
      </w:r>
      <w:r w:rsidR="00BC5E5A">
        <w:rPr>
          <w:rFonts w:ascii="PT Astra Serif" w:hAnsi="PT Astra Serif" w:cs="Times New Roman"/>
          <w:b w:val="0"/>
          <w:bCs/>
          <w:sz w:val="28"/>
          <w:szCs w:val="28"/>
        </w:rPr>
        <w:t xml:space="preserve"> также</w:t>
      </w:r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bCs/>
          <w:sz w:val="28"/>
          <w:szCs w:val="28"/>
        </w:rPr>
        <w:t>–</w:t>
      </w:r>
      <w:r w:rsidR="00CB5345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>дотации</w:t>
      </w:r>
      <w:r w:rsidR="00BC5E5A">
        <w:rPr>
          <w:rFonts w:ascii="PT Astra Serif" w:hAnsi="PT Astra Serif" w:cs="Times New Roman"/>
          <w:b w:val="0"/>
          <w:bCs/>
          <w:sz w:val="28"/>
          <w:szCs w:val="28"/>
        </w:rPr>
        <w:t>, Конкурс, муниципальные образования соответственно</w:t>
      </w:r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 xml:space="preserve">). 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 w:rsidRPr="00601772">
        <w:rPr>
          <w:rFonts w:ascii="PT Astra Serif" w:hAnsi="PT Astra Serif" w:cs="Times New Roman"/>
          <w:b w:val="0"/>
          <w:bCs/>
          <w:sz w:val="28"/>
          <w:szCs w:val="28"/>
        </w:rPr>
        <w:t>2. Дотации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дотаций, доведённых до Министерства финансов Ульяновской области (далее – Министерство), как получателя средств областного бюджета Ульяновской области.</w:t>
      </w:r>
    </w:p>
    <w:p w:rsidR="00BC5E5A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3</w:t>
      </w:r>
      <w:r w:rsidRPr="00FE1150">
        <w:rPr>
          <w:rFonts w:ascii="PT Astra Serif" w:hAnsi="PT Astra Serif" w:cs="Times New Roman"/>
          <w:b w:val="0"/>
          <w:bCs/>
          <w:sz w:val="28"/>
          <w:szCs w:val="28"/>
        </w:rPr>
        <w:t xml:space="preserve">. </w:t>
      </w:r>
      <w:bookmarkStart w:id="2" w:name="_Hlk34741099"/>
      <w:r w:rsidR="00BC5E5A">
        <w:rPr>
          <w:rFonts w:ascii="PT Astra Serif" w:hAnsi="PT Astra Serif" w:cs="Times New Roman"/>
          <w:b w:val="0"/>
          <w:bCs/>
          <w:sz w:val="28"/>
          <w:szCs w:val="28"/>
        </w:rPr>
        <w:t>Общий объём дотаций распределяется следующим образом:</w:t>
      </w:r>
    </w:p>
    <w:p w:rsidR="00BC5E5A" w:rsidRDefault="00BC5E5A" w:rsidP="00BC5E5A">
      <w:pPr>
        <w:pStyle w:val="ConsPlusTitle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ab/>
        <w:t>1) 25 процентов общего объёма дотаций составляет объём дотаций, подлежащих предоставлению бюджетам всех муниципальных образований, ставши</w:t>
      </w:r>
      <w:r w:rsidR="00EA1C2A">
        <w:rPr>
          <w:rFonts w:ascii="PT Astra Serif" w:hAnsi="PT Astra Serif" w:cs="Times New Roman"/>
          <w:b w:val="0"/>
          <w:bCs/>
          <w:sz w:val="28"/>
          <w:szCs w:val="28"/>
        </w:rPr>
        <w:t>х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 победителями Конкурса в каждой</w:t>
      </w:r>
      <w:r w:rsidR="00E30713">
        <w:rPr>
          <w:rFonts w:ascii="PT Astra Serif" w:hAnsi="PT Astra Serif" w:cs="Times New Roman"/>
          <w:b w:val="0"/>
          <w:bCs/>
          <w:sz w:val="28"/>
          <w:szCs w:val="28"/>
        </w:rPr>
        <w:t xml:space="preserve"> из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 его номинаци</w:t>
      </w:r>
      <w:r w:rsidR="00E30713">
        <w:rPr>
          <w:rFonts w:ascii="PT Astra Serif" w:hAnsi="PT Astra Serif" w:cs="Times New Roman"/>
          <w:b w:val="0"/>
          <w:bCs/>
          <w:sz w:val="28"/>
          <w:szCs w:val="28"/>
        </w:rPr>
        <w:t>й</w:t>
      </w:r>
      <w:r>
        <w:rPr>
          <w:rFonts w:ascii="PT Astra Serif" w:hAnsi="PT Astra Serif" w:cs="Times New Roman"/>
          <w:b w:val="0"/>
          <w:bCs/>
          <w:sz w:val="28"/>
          <w:szCs w:val="28"/>
        </w:rPr>
        <w:t>;</w:t>
      </w:r>
    </w:p>
    <w:p w:rsidR="00BC5E5A" w:rsidRDefault="00BC5E5A" w:rsidP="00BC5E5A">
      <w:pPr>
        <w:pStyle w:val="ConsPlusTitle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ab/>
        <w:t xml:space="preserve">2) 76 процентов объёма дотаций, подлежащих предоставлению бюджетам всех муниципальных образований, ставших победителями Конкурса в каждой из его номинаций, составляет объём дотаций, подлежащих предоставлению бюджетам муниципальных образований, ставших победителями Конкурса в соответствующей номинации в </w:t>
      </w:r>
      <w:r>
        <w:rPr>
          <w:rFonts w:ascii="PT Astra Serif" w:hAnsi="PT Astra Serif" w:cs="Times New Roman"/>
          <w:b w:val="0"/>
          <w:bCs/>
          <w:sz w:val="28"/>
          <w:szCs w:val="28"/>
          <w:lang w:val="en-US"/>
        </w:rPr>
        <w:t>I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 категории участников Конкурса, и 24 процента – объём дотаций, подлежащих предоставлению бюджетам муниципальных образований</w:t>
      </w:r>
      <w:r w:rsidR="002D532C">
        <w:rPr>
          <w:rFonts w:ascii="PT Astra Serif" w:hAnsi="PT Astra Serif" w:cs="Times New Roman"/>
          <w:b w:val="0"/>
          <w:bCs/>
          <w:sz w:val="28"/>
          <w:szCs w:val="28"/>
        </w:rPr>
        <w:t xml:space="preserve">, ставших победителями Конкурса </w:t>
      </w:r>
      <w:r w:rsidR="00EA1C2A">
        <w:rPr>
          <w:rFonts w:ascii="PT Astra Serif" w:hAnsi="PT Astra Serif" w:cs="Times New Roman"/>
          <w:b w:val="0"/>
          <w:bCs/>
          <w:sz w:val="28"/>
          <w:szCs w:val="28"/>
        </w:rPr>
        <w:t>в</w:t>
      </w:r>
      <w:bookmarkStart w:id="3" w:name="_GoBack"/>
      <w:bookmarkEnd w:id="3"/>
      <w:r w:rsidR="002D532C">
        <w:rPr>
          <w:rFonts w:ascii="PT Astra Serif" w:hAnsi="PT Astra Serif" w:cs="Times New Roman"/>
          <w:b w:val="0"/>
          <w:bCs/>
          <w:sz w:val="28"/>
          <w:szCs w:val="28"/>
        </w:rPr>
        <w:t xml:space="preserve"> соответствующей номинации во </w:t>
      </w:r>
      <w:r w:rsidR="002D532C">
        <w:rPr>
          <w:rFonts w:ascii="PT Astra Serif" w:hAnsi="PT Astra Serif" w:cs="Times New Roman"/>
          <w:b w:val="0"/>
          <w:bCs/>
          <w:sz w:val="28"/>
          <w:szCs w:val="28"/>
          <w:lang w:val="en-US"/>
        </w:rPr>
        <w:t>II</w:t>
      </w:r>
      <w:r w:rsidR="002D532C" w:rsidRPr="002D532C">
        <w:rPr>
          <w:rFonts w:ascii="PT Astra Serif" w:hAnsi="PT Astra Serif" w:cs="Times New Roman"/>
          <w:b w:val="0"/>
          <w:bCs/>
          <w:sz w:val="28"/>
          <w:szCs w:val="28"/>
        </w:rPr>
        <w:t xml:space="preserve"> </w:t>
      </w:r>
      <w:r w:rsidR="002D532C">
        <w:rPr>
          <w:rFonts w:ascii="PT Astra Serif" w:hAnsi="PT Astra Serif" w:cs="Times New Roman"/>
          <w:b w:val="0"/>
          <w:bCs/>
          <w:sz w:val="28"/>
          <w:szCs w:val="28"/>
        </w:rPr>
        <w:t>второй категории участников Конкурса;</w:t>
      </w:r>
    </w:p>
    <w:p w:rsidR="002D532C" w:rsidRPr="002D532C" w:rsidRDefault="002D532C" w:rsidP="002D532C">
      <w:pPr>
        <w:pStyle w:val="ConsPlusTitle"/>
        <w:ind w:firstLine="708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3)  50 процентов объёма дотаций, подлежащих предоставлению бюджетам муниципальных образований, ставших победителями Конкурса в соответствующей номинации в </w:t>
      </w:r>
      <w:r>
        <w:rPr>
          <w:rFonts w:ascii="PT Astra Serif" w:hAnsi="PT Astra Serif" w:cs="Times New Roman"/>
          <w:b w:val="0"/>
          <w:bCs/>
          <w:sz w:val="28"/>
          <w:szCs w:val="28"/>
          <w:lang w:val="en-US"/>
        </w:rPr>
        <w:t>I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 или </w:t>
      </w:r>
      <w:r>
        <w:rPr>
          <w:rFonts w:ascii="PT Astra Serif" w:hAnsi="PT Astra Serif" w:cs="Times New Roman"/>
          <w:b w:val="0"/>
          <w:bCs/>
          <w:sz w:val="28"/>
          <w:szCs w:val="28"/>
          <w:lang w:val="en-US"/>
        </w:rPr>
        <w:t>II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 категории участников Конкурса, составляет объём дотаций, подлежащих предоставлению бюджетам муниципальных образований, занявших первое место, 30 процентов- бюджетам  муниципальных образований, занявших второе место, и 20 процентов – бюджетам </w:t>
      </w:r>
      <w:r w:rsidR="00511089">
        <w:rPr>
          <w:rFonts w:ascii="PT Astra Serif" w:hAnsi="PT Astra Serif" w:cs="Times New Roman"/>
          <w:b w:val="0"/>
          <w:bCs/>
          <w:sz w:val="28"/>
          <w:szCs w:val="28"/>
        </w:rPr>
        <w:t>муниципальных образований, занявших третье место.</w:t>
      </w:r>
    </w:p>
    <w:bookmarkEnd w:id="2"/>
    <w:p w:rsidR="00FD42E9" w:rsidRPr="00A10C84" w:rsidRDefault="00FD42E9" w:rsidP="00511089">
      <w:pPr>
        <w:pStyle w:val="ConsPlusTitle"/>
        <w:ind w:firstLine="708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lastRenderedPageBreak/>
        <w:t>4</w:t>
      </w:r>
      <w:r w:rsidRPr="00A10C84">
        <w:rPr>
          <w:rFonts w:ascii="PT Astra Serif" w:hAnsi="PT Astra Serif" w:cs="Times New Roman"/>
          <w:b w:val="0"/>
          <w:bCs/>
          <w:sz w:val="28"/>
          <w:szCs w:val="28"/>
        </w:rPr>
        <w:t>. Распределение дотаций между бюджетами</w:t>
      </w: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 муниципальных образований</w:t>
      </w:r>
      <w:r w:rsidRPr="00A10C84">
        <w:rPr>
          <w:rFonts w:ascii="PT Astra Serif" w:hAnsi="PT Astra Serif" w:cs="Times New Roman"/>
          <w:b w:val="0"/>
          <w:bCs/>
          <w:sz w:val="28"/>
          <w:szCs w:val="28"/>
        </w:rPr>
        <w:t xml:space="preserve"> утверждается постановлением Правительства Ульяновской области, которое должно быть издано не позднее 60 календарных дней со дня </w:t>
      </w:r>
      <w:r w:rsidR="00511089">
        <w:rPr>
          <w:rFonts w:ascii="PT Astra Serif" w:hAnsi="PT Astra Serif" w:cs="Times New Roman"/>
          <w:b w:val="0"/>
          <w:bCs/>
          <w:sz w:val="28"/>
          <w:szCs w:val="28"/>
        </w:rPr>
        <w:t>принятия конкурсной комиссией по организации и проведению регионального этапа Всероссийского конкурса «Лучшая муниципальная практика» решения об определении победителей Конкурса</w:t>
      </w:r>
      <w:r w:rsidRPr="00A10C84">
        <w:rPr>
          <w:rFonts w:ascii="PT Astra Serif" w:hAnsi="PT Astra Serif" w:cs="Times New Roman"/>
          <w:b w:val="0"/>
          <w:bCs/>
          <w:sz w:val="28"/>
          <w:szCs w:val="28"/>
        </w:rPr>
        <w:t>. Проект указанного постановления подготавливает Министерство.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5</w:t>
      </w:r>
      <w:r w:rsidRPr="00A10C84">
        <w:rPr>
          <w:rFonts w:ascii="PT Astra Serif" w:hAnsi="PT Astra Serif" w:cs="Times New Roman"/>
          <w:b w:val="0"/>
          <w:bCs/>
          <w:sz w:val="28"/>
          <w:szCs w:val="28"/>
        </w:rPr>
        <w:t>. Перечисление дотаций осуществляется Министерством на лицевые счета администраторов доходов бюджетов</w:t>
      </w:r>
      <w:r w:rsidR="00511089">
        <w:rPr>
          <w:rFonts w:ascii="PT Astra Serif" w:hAnsi="PT Astra Serif" w:cs="Times New Roman"/>
          <w:b w:val="0"/>
          <w:bCs/>
          <w:sz w:val="28"/>
          <w:szCs w:val="28"/>
        </w:rPr>
        <w:t xml:space="preserve"> муниципальных образований</w:t>
      </w:r>
      <w:r w:rsidRPr="00A10C84">
        <w:rPr>
          <w:rFonts w:ascii="PT Astra Serif" w:hAnsi="PT Astra Serif" w:cs="Times New Roman"/>
          <w:b w:val="0"/>
          <w:bCs/>
          <w:sz w:val="28"/>
          <w:szCs w:val="28"/>
        </w:rPr>
        <w:t>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бюджетов.</w:t>
      </w: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</w:p>
    <w:p w:rsidR="00FD42E9" w:rsidRDefault="00FD42E9" w:rsidP="00FD42E9">
      <w:pPr>
        <w:pStyle w:val="ConsPlusTitle"/>
        <w:jc w:val="center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___________</w:t>
      </w:r>
    </w:p>
    <w:p w:rsidR="00FD42E9" w:rsidRPr="00B87142" w:rsidRDefault="00FD42E9" w:rsidP="00FD42E9">
      <w:pPr>
        <w:rPr>
          <w:rFonts w:ascii="PT Astra Serif" w:hAnsi="PT Astra Serif"/>
          <w:sz w:val="28"/>
          <w:szCs w:val="28"/>
        </w:rPr>
      </w:pPr>
    </w:p>
    <w:p w:rsidR="00720D4E" w:rsidRDefault="00720D4E"/>
    <w:sectPr w:rsidR="00720D4E" w:rsidSect="004859F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52" w:rsidRDefault="00DE5452">
      <w:pPr>
        <w:spacing w:after="0" w:line="240" w:lineRule="auto"/>
      </w:pPr>
      <w:r>
        <w:separator/>
      </w:r>
    </w:p>
  </w:endnote>
  <w:endnote w:type="continuationSeparator" w:id="0">
    <w:p w:rsidR="00DE5452" w:rsidRDefault="00DE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52" w:rsidRDefault="00DE5452">
      <w:pPr>
        <w:spacing w:after="0" w:line="240" w:lineRule="auto"/>
      </w:pPr>
      <w:r>
        <w:separator/>
      </w:r>
    </w:p>
  </w:footnote>
  <w:footnote w:type="continuationSeparator" w:id="0">
    <w:p w:rsidR="00DE5452" w:rsidRDefault="00DE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16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B38" w:rsidRPr="00397C39" w:rsidRDefault="0051108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97C39">
          <w:rPr>
            <w:rFonts w:ascii="PT Astra Serif" w:hAnsi="PT Astra Serif"/>
            <w:sz w:val="28"/>
            <w:szCs w:val="28"/>
          </w:rPr>
          <w:fldChar w:fldCharType="begin"/>
        </w:r>
        <w:r w:rsidRPr="00397C39">
          <w:rPr>
            <w:rFonts w:ascii="PT Astra Serif" w:hAnsi="PT Astra Serif"/>
            <w:sz w:val="28"/>
            <w:szCs w:val="28"/>
          </w:rPr>
          <w:instrText>PAGE   \* MERGEFORMAT</w:instrText>
        </w:r>
        <w:r w:rsidRPr="00397C39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397C3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63B38" w:rsidRDefault="00DE5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C"/>
    <w:rsid w:val="002D532C"/>
    <w:rsid w:val="0043731C"/>
    <w:rsid w:val="00511089"/>
    <w:rsid w:val="00720D4E"/>
    <w:rsid w:val="00BC5E5A"/>
    <w:rsid w:val="00CB5345"/>
    <w:rsid w:val="00DE5452"/>
    <w:rsid w:val="00E30713"/>
    <w:rsid w:val="00EA1C2A"/>
    <w:rsid w:val="00EE6BBC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CB6A"/>
  <w15:chartTrackingRefBased/>
  <w15:docId w15:val="{128167F7-B174-4855-8FB8-D4F4EC12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2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</dc:creator>
  <cp:keywords/>
  <dc:description/>
  <cp:lastModifiedBy>Антонов Павел Сергеевич</cp:lastModifiedBy>
  <cp:revision>6</cp:revision>
  <dcterms:created xsi:type="dcterms:W3CDTF">2020-04-08T09:11:00Z</dcterms:created>
  <dcterms:modified xsi:type="dcterms:W3CDTF">2020-05-08T06:23:00Z</dcterms:modified>
</cp:coreProperties>
</file>