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FD5172" w:rsidP="00B803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FD5172">
              <w:rPr>
                <w:rFonts w:ascii="PT Astra Serif" w:hAnsi="PT Astra Serif"/>
                <w:sz w:val="22"/>
                <w:szCs w:val="22"/>
              </w:rPr>
              <w:t>73-ИОГВ-08/3844вн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FD517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D5172">
              <w:rPr>
                <w:rFonts w:ascii="PT Astra Serif" w:hAnsi="PT Astra Serif"/>
                <w:sz w:val="24"/>
                <w:szCs w:val="24"/>
              </w:rPr>
              <w:t>2.10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302DBC" w:rsidRDefault="00CF7396" w:rsidP="00486D0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486D0A">
              <w:rPr>
                <w:rFonts w:ascii="PT Astra Serif" w:hAnsi="PT Astra Serif"/>
                <w:b/>
              </w:rPr>
              <w:t>Министра строительства и архитектуры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486D0A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Алексичу К.В.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486D0A" w:rsidRPr="00486D0A">
        <w:rPr>
          <w:rFonts w:ascii="PT Astra Serif" w:eastAsia="Calibri" w:hAnsi="PT Astra Serif" w:cs="Calibri"/>
          <w:b/>
        </w:rPr>
        <w:t>Константин Викторович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</w:t>
      </w:r>
      <w:proofErr w:type="gramStart"/>
      <w:r w:rsidR="00964242" w:rsidRPr="00E33251">
        <w:rPr>
          <w:rFonts w:ascii="PT Astra Serif" w:hAnsi="PT Astra Serif"/>
        </w:rPr>
        <w:t xml:space="preserve">рассмотрения проекта </w:t>
      </w:r>
      <w:r w:rsidR="00486D0A" w:rsidRPr="00486D0A">
        <w:rPr>
          <w:rFonts w:ascii="PT Astra Serif" w:hAnsi="PT Astra Serif"/>
        </w:rPr>
        <w:t>приказа Министерства строительства</w:t>
      </w:r>
      <w:proofErr w:type="gramEnd"/>
      <w:r w:rsidR="00486D0A" w:rsidRPr="00486D0A">
        <w:rPr>
          <w:rFonts w:ascii="PT Astra Serif" w:hAnsi="PT Astra Serif"/>
        </w:rPr>
        <w:t xml:space="preserve"> и архитектуры Ульяновской области </w:t>
      </w:r>
      <w:r w:rsidR="00486D0A">
        <w:rPr>
          <w:rFonts w:ascii="PT Astra Serif" w:hAnsi="PT Astra Serif"/>
        </w:rPr>
        <w:br/>
      </w:r>
      <w:r w:rsidR="00486D0A" w:rsidRPr="00486D0A">
        <w:rPr>
          <w:rFonts w:ascii="PT Astra Serif" w:hAnsi="PT Astra Serif"/>
        </w:rPr>
        <w:t>«Об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</w:t>
      </w:r>
      <w:r w:rsidR="00FD5172">
        <w:rPr>
          <w:rFonts w:ascii="PT Astra Serif" w:hAnsi="PT Astra Serif"/>
        </w:rPr>
        <w:t>а</w:t>
      </w:r>
      <w:r w:rsidR="00486D0A" w:rsidRPr="00486D0A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E33251">
        <w:rPr>
          <w:rFonts w:ascii="PT Astra Serif" w:hAnsi="PT Astra Serif"/>
          <w:b/>
        </w:rPr>
        <w:t xml:space="preserve">воздействия проекта </w:t>
      </w:r>
      <w:r w:rsidR="00486D0A">
        <w:rPr>
          <w:rFonts w:ascii="PT Astra Serif" w:hAnsi="PT Astra Serif"/>
          <w:b/>
        </w:rPr>
        <w:t>приказа Министерства строительства</w:t>
      </w:r>
      <w:proofErr w:type="gramEnd"/>
      <w:r w:rsidR="00486D0A">
        <w:rPr>
          <w:rFonts w:ascii="PT Astra Serif" w:hAnsi="PT Astra Serif"/>
          <w:b/>
        </w:rPr>
        <w:t xml:space="preserve"> и архитектуры</w:t>
      </w:r>
      <w:r w:rsidR="00032859" w:rsidRPr="00032859">
        <w:rPr>
          <w:rFonts w:ascii="PT Astra Serif" w:hAnsi="PT Astra Serif"/>
          <w:b/>
        </w:rPr>
        <w:t xml:space="preserve"> Ульяновской области «</w:t>
      </w:r>
      <w:r w:rsidR="00486D0A" w:rsidRPr="00486D0A">
        <w:rPr>
          <w:rFonts w:ascii="PT Astra Serif" w:hAnsi="PT Astra Serif"/>
          <w:b/>
        </w:rPr>
        <w:t>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</w:t>
      </w:r>
      <w:r w:rsidR="00FD5172">
        <w:rPr>
          <w:rFonts w:ascii="PT Astra Serif" w:hAnsi="PT Astra Serif"/>
          <w:b/>
        </w:rPr>
        <w:t>а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1A12CC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</w:t>
      </w:r>
      <w:r w:rsidRPr="00E33251">
        <w:rPr>
          <w:rFonts w:ascii="PT Astra Serif" w:hAnsi="PT Astra Serif"/>
        </w:rPr>
        <w:lastRenderedPageBreak/>
        <w:t>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BA3911" w:rsidRPr="00BA3911">
        <w:rPr>
          <w:rFonts w:ascii="PT Astra Serif" w:hAnsi="PT Astra Serif"/>
        </w:rPr>
        <w:t xml:space="preserve">приказа Министерства строительства и архитектуры Ульяновской области </w:t>
      </w:r>
      <w:r w:rsidR="00BA3911">
        <w:rPr>
          <w:rFonts w:ascii="PT Astra Serif" w:hAnsi="PT Astra Serif"/>
        </w:rPr>
        <w:br/>
      </w:r>
      <w:r w:rsidR="00BA3911" w:rsidRPr="00BA3911">
        <w:rPr>
          <w:rFonts w:ascii="PT Astra Serif" w:hAnsi="PT Astra Serif"/>
        </w:rPr>
        <w:t>«Об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</w:t>
      </w:r>
      <w:r w:rsidR="00FD5172">
        <w:rPr>
          <w:rFonts w:ascii="PT Astra Serif" w:hAnsi="PT Astra Serif"/>
        </w:rPr>
        <w:t>а</w:t>
      </w:r>
      <w:r w:rsidR="00BA3911" w:rsidRPr="00BA391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BA3911">
        <w:rPr>
          <w:rFonts w:ascii="PT Astra Serif" w:hAnsi="PT Astra Serif"/>
        </w:rPr>
        <w:t>Министерством строительства и архитектуры</w:t>
      </w:r>
      <w:proofErr w:type="gramEnd"/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53C74" w:rsidRDefault="00DA5377" w:rsidP="00E53C74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E53C74" w:rsidRPr="00E53C74">
        <w:rPr>
          <w:rFonts w:ascii="PT Astra Serif" w:hAnsi="PT Astra Serif" w:cs="PT Astra Serif"/>
        </w:rPr>
        <w:t>Земельн</w:t>
      </w:r>
      <w:r w:rsidR="00E53C74">
        <w:rPr>
          <w:rFonts w:ascii="PT Astra Serif" w:hAnsi="PT Astra Serif" w:cs="PT Astra Serif"/>
        </w:rPr>
        <w:t>ым</w:t>
      </w:r>
      <w:r w:rsidR="00E53C74" w:rsidRPr="00E53C74">
        <w:rPr>
          <w:rFonts w:ascii="PT Astra Serif" w:hAnsi="PT Astra Serif" w:cs="PT Astra Serif"/>
        </w:rPr>
        <w:t xml:space="preserve"> кодекс</w:t>
      </w:r>
      <w:r w:rsidR="00E53C74">
        <w:rPr>
          <w:rFonts w:ascii="PT Astra Serif" w:hAnsi="PT Astra Serif" w:cs="PT Astra Serif"/>
        </w:rPr>
        <w:t>ом</w:t>
      </w:r>
      <w:r w:rsidR="00E53C74" w:rsidRPr="00E53C74">
        <w:rPr>
          <w:rFonts w:ascii="PT Astra Serif" w:hAnsi="PT Astra Serif" w:cs="PT Astra Serif"/>
        </w:rPr>
        <w:t xml:space="preserve"> Российской Федерации, Законом Ульяновской области от 17.11.2003 № 059-ЗО «О регулировании земельных отношений в Ульяновской области»</w:t>
      </w:r>
      <w:r w:rsidR="00E53C74">
        <w:rPr>
          <w:rFonts w:ascii="PT Astra Serif" w:hAnsi="PT Astra Serif" w:cs="PT Astra Serif"/>
        </w:rPr>
        <w:t xml:space="preserve"> и </w:t>
      </w:r>
      <w:r w:rsidR="00E53C74" w:rsidRPr="00E53C74">
        <w:rPr>
          <w:rFonts w:ascii="PT Astra Serif" w:hAnsi="PT Astra Serif" w:cs="PT Astra Serif"/>
        </w:rPr>
        <w:t>Законом Ульяновской области от 23.12.2016 № 200-ЗО «О предоставлении гражданам земельных участков, на которых расположены индивидуальные жилые дома, в собственность бесплатно»</w:t>
      </w:r>
      <w:r w:rsidR="00E53C74">
        <w:rPr>
          <w:rFonts w:ascii="PT Astra Serif" w:hAnsi="PT Astra Serif" w:cs="PT Astra Serif"/>
        </w:rPr>
        <w:t>.</w:t>
      </w:r>
    </w:p>
    <w:p w:rsidR="00E53C74" w:rsidRDefault="00E53C74" w:rsidP="00E53C7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Проектом акта устанавливается административный регламент</w:t>
      </w:r>
      <w:r w:rsidRPr="00E53C74">
        <w:rPr>
          <w:rFonts w:ascii="PT Astra Serif" w:hAnsi="PT Astra Serif" w:cs="PT Astra Serif"/>
        </w:rPr>
        <w:t xml:space="preserve"> предоставления Министерством строительства и архитектуры Ульяновской области (далее – Министерство)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504B63">
        <w:rPr>
          <w:rFonts w:ascii="PT Astra Serif" w:hAnsi="PT Astra Serif" w:cs="PT Astra Serif"/>
        </w:rPr>
        <w:t xml:space="preserve"> (далее – государственная услуга)</w:t>
      </w:r>
      <w:r w:rsidR="002335A4">
        <w:rPr>
          <w:rFonts w:ascii="PT Astra Serif" w:hAnsi="PT Astra Serif" w:cs="PT Astra Serif"/>
        </w:rPr>
        <w:t xml:space="preserve">, </w:t>
      </w:r>
      <w:r w:rsidR="00504B63">
        <w:rPr>
          <w:rFonts w:ascii="PT Astra Serif" w:hAnsi="PT Astra Serif" w:cs="PT Astra Serif"/>
        </w:rPr>
        <w:t>в том числе:</w:t>
      </w:r>
    </w:p>
    <w:p w:rsidR="00504B63" w:rsidRDefault="00504B63" w:rsidP="00504B63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получатели государственной услуги и т</w:t>
      </w:r>
      <w:r w:rsidRPr="00504B63">
        <w:rPr>
          <w:rFonts w:ascii="PT Astra Serif" w:hAnsi="PT Astra Serif" w:cs="PT Astra Serif"/>
        </w:rPr>
        <w:t>ребования к порядку информирования о предоставлении государственной услуги</w:t>
      </w:r>
      <w:r>
        <w:rPr>
          <w:rFonts w:ascii="PT Astra Serif" w:hAnsi="PT Astra Serif" w:cs="PT Astra Serif"/>
        </w:rPr>
        <w:t>;</w:t>
      </w:r>
    </w:p>
    <w:p w:rsidR="00504B63" w:rsidRDefault="00504B63" w:rsidP="00E53C7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с</w:t>
      </w:r>
      <w:r w:rsidRPr="00504B63">
        <w:rPr>
          <w:rFonts w:ascii="PT Astra Serif" w:hAnsi="PT Astra Serif" w:cs="PT Astra Serif"/>
        </w:rPr>
        <w:t>тандарт предоставления государственной услуги</w:t>
      </w:r>
      <w:proofErr w:type="gramStart"/>
      <w:r w:rsidR="00DD2ED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;</w:t>
      </w:r>
      <w:proofErr w:type="gramEnd"/>
    </w:p>
    <w:p w:rsidR="00504B63" w:rsidRDefault="00504B63" w:rsidP="00DD2ED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DD2ED4">
        <w:rPr>
          <w:rFonts w:ascii="PT Astra Serif" w:hAnsi="PT Astra Serif" w:cs="PT Astra Serif"/>
        </w:rPr>
        <w:t>с</w:t>
      </w:r>
      <w:r w:rsidR="00DD2ED4" w:rsidRPr="00DD2ED4">
        <w:rPr>
          <w:rFonts w:ascii="PT Astra Serif" w:hAnsi="PT Astra Serif" w:cs="PT Astra Seri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D2ED4">
        <w:rPr>
          <w:rFonts w:ascii="PT Astra Serif" w:hAnsi="PT Astra Serif" w:cs="PT Astra Serif"/>
        </w:rPr>
        <w:t>;</w:t>
      </w:r>
    </w:p>
    <w:p w:rsidR="00DD2ED4" w:rsidRDefault="00DD2ED4" w:rsidP="00DD2ED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ф</w:t>
      </w:r>
      <w:r w:rsidRPr="00DD2ED4">
        <w:rPr>
          <w:rFonts w:ascii="PT Astra Serif" w:hAnsi="PT Astra Serif" w:cs="PT Astra Serif"/>
        </w:rPr>
        <w:t xml:space="preserve">ормы </w:t>
      </w:r>
      <w:proofErr w:type="gramStart"/>
      <w:r w:rsidRPr="00DD2ED4">
        <w:rPr>
          <w:rFonts w:ascii="PT Astra Serif" w:hAnsi="PT Astra Serif" w:cs="PT Astra Serif"/>
        </w:rPr>
        <w:t>контроля за</w:t>
      </w:r>
      <w:proofErr w:type="gramEnd"/>
      <w:r w:rsidRPr="00DD2ED4">
        <w:rPr>
          <w:rFonts w:ascii="PT Astra Serif" w:hAnsi="PT Astra Serif" w:cs="PT Astra Serif"/>
        </w:rPr>
        <w:t xml:space="preserve"> исполнением </w:t>
      </w:r>
      <w:r>
        <w:rPr>
          <w:rFonts w:ascii="PT Astra Serif" w:hAnsi="PT Astra Serif" w:cs="PT Astra Serif"/>
        </w:rPr>
        <w:t>а</w:t>
      </w:r>
      <w:r w:rsidRPr="00DD2ED4">
        <w:rPr>
          <w:rFonts w:ascii="PT Astra Serif" w:hAnsi="PT Astra Serif" w:cs="PT Astra Serif"/>
        </w:rPr>
        <w:t>дминистративного регламента</w:t>
      </w:r>
      <w:r>
        <w:rPr>
          <w:rFonts w:ascii="PT Astra Serif" w:hAnsi="PT Astra Serif" w:cs="PT Astra Serif"/>
        </w:rPr>
        <w:t xml:space="preserve"> по предоставлению государственной услуги;</w:t>
      </w:r>
    </w:p>
    <w:p w:rsidR="00DD2ED4" w:rsidRDefault="00DD2ED4" w:rsidP="00DD2ED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5) д</w:t>
      </w:r>
      <w:r w:rsidRPr="00DD2ED4">
        <w:rPr>
          <w:rFonts w:ascii="PT Astra Serif" w:hAnsi="PT Astra Serif" w:cs="PT Astra Serif"/>
        </w:rPr>
        <w:t xml:space="preserve">осудебный (внесудебный) порядок обжалования решений и действий (бездействия) Министерства, ОГКУ «Региональный земельно-имущественный центр», многофункционального центра, организаций, осуществляющих </w:t>
      </w:r>
      <w:r w:rsidRPr="00DD2ED4">
        <w:rPr>
          <w:rFonts w:ascii="PT Astra Serif" w:hAnsi="PT Astra Serif" w:cs="PT Astra Serif"/>
        </w:rPr>
        <w:lastRenderedPageBreak/>
        <w:t>функции по предоставлению государственных услуг, а также их должностных лиц, государственных служащих, работников</w:t>
      </w:r>
      <w:r>
        <w:rPr>
          <w:rFonts w:ascii="PT Astra Serif" w:hAnsi="PT Astra Serif" w:cs="PT Astra Serif"/>
        </w:rPr>
        <w:t>;</w:t>
      </w:r>
      <w:proofErr w:type="gramEnd"/>
    </w:p>
    <w:p w:rsidR="00DD2ED4" w:rsidRDefault="00DD2ED4" w:rsidP="00DD2ED4">
      <w:pPr>
        <w:tabs>
          <w:tab w:val="left" w:pos="3252"/>
        </w:tabs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типовые формы документов.</w:t>
      </w:r>
    </w:p>
    <w:p w:rsidR="00E53C74" w:rsidRPr="00E53C74" w:rsidRDefault="00E53C74" w:rsidP="00E53C7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проектом акта признаётся </w:t>
      </w:r>
      <w:r w:rsidRPr="00E53C74">
        <w:rPr>
          <w:rFonts w:ascii="PT Astra Serif" w:hAnsi="PT Astra Serif"/>
        </w:rPr>
        <w:t xml:space="preserve">утратившим силу приказ Министерства строительства и архитектуры Ульяновской области от 05.06.2019 № 97-пр </w:t>
      </w:r>
      <w:r>
        <w:rPr>
          <w:rFonts w:ascii="PT Astra Serif" w:hAnsi="PT Astra Serif"/>
        </w:rPr>
        <w:br/>
      </w:r>
      <w:r w:rsidRPr="00E53C74">
        <w:rPr>
          <w:rFonts w:ascii="PT Astra Serif" w:hAnsi="PT Astra Serif"/>
        </w:rPr>
        <w:t>«Об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разграничена».</w:t>
      </w:r>
    </w:p>
    <w:p w:rsidR="00E53C74" w:rsidRDefault="00E53C74" w:rsidP="00E53C7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53C74">
        <w:rPr>
          <w:rFonts w:ascii="PT Astra Serif" w:hAnsi="PT Astra Serif"/>
        </w:rPr>
        <w:t>риказ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</w:t>
      </w:r>
      <w:r w:rsidR="00E53C74">
        <w:rPr>
          <w:rFonts w:ascii="PT Astra Serif" w:hAnsi="PT Astra Serif"/>
        </w:rPr>
        <w:t xml:space="preserve">на регламентирование порядка предоставления государственных услуг на территории Ульяновской области в области </w:t>
      </w:r>
      <w:r w:rsidR="00E53C74" w:rsidRPr="00E53C74">
        <w:rPr>
          <w:rFonts w:ascii="PT Astra Serif" w:hAnsi="PT Astra Serif" w:cs="PT Astra Serif"/>
        </w:rPr>
        <w:t>предварительно</w:t>
      </w:r>
      <w:r w:rsidR="00E53C74">
        <w:rPr>
          <w:rFonts w:ascii="PT Astra Serif" w:hAnsi="PT Astra Serif" w:cs="PT Astra Serif"/>
        </w:rPr>
        <w:t>го</w:t>
      </w:r>
      <w:r w:rsidR="00E53C74" w:rsidRPr="00E53C74">
        <w:rPr>
          <w:rFonts w:ascii="PT Astra Serif" w:hAnsi="PT Astra Serif" w:cs="PT Astra Serif"/>
        </w:rPr>
        <w:t xml:space="preserve"> согласовани</w:t>
      </w:r>
      <w:r w:rsidR="00E53C74">
        <w:rPr>
          <w:rFonts w:ascii="PT Astra Serif" w:hAnsi="PT Astra Serif" w:cs="PT Astra Serif"/>
        </w:rPr>
        <w:t>я</w:t>
      </w:r>
      <w:r w:rsidR="00E53C74" w:rsidRPr="00E53C74">
        <w:rPr>
          <w:rFonts w:ascii="PT Astra Serif" w:hAnsi="PT Astra Serif" w:cs="PT Astra Serif"/>
        </w:rPr>
        <w:t xml:space="preserve">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</w:t>
      </w:r>
      <w:r w:rsidR="00E53C74">
        <w:rPr>
          <w:rFonts w:ascii="PT Astra Serif" w:hAnsi="PT Astra Serif" w:cs="PT Astra Serif"/>
        </w:rPr>
        <w:t>а.</w:t>
      </w:r>
    </w:p>
    <w:p w:rsidR="00DA5377" w:rsidRPr="00DD2ED4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DD2ED4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DD2ED4">
        <w:rPr>
          <w:rFonts w:ascii="PT Astra Serif" w:hAnsi="PT Astra Serif"/>
          <w:b/>
        </w:rPr>
        <w:t> </w:t>
      </w:r>
      <w:r w:rsidRPr="00DD2ED4">
        <w:rPr>
          <w:rFonts w:ascii="PT Astra Serif" w:hAnsi="PT Astra Serif"/>
          <w:b/>
        </w:rPr>
        <w:t>связи с наличием рассматриваемой проблемы.</w:t>
      </w:r>
    </w:p>
    <w:p w:rsidR="00DC12BC" w:rsidRDefault="00DC12B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highlight w:val="yellow"/>
        </w:rPr>
      </w:pPr>
      <w:r w:rsidRPr="00DC12BC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ёй</w:t>
      </w:r>
      <w:r w:rsidRPr="00DC12BC">
        <w:rPr>
          <w:rFonts w:ascii="PT Astra Serif" w:hAnsi="PT Astra Serif"/>
        </w:rPr>
        <w:t xml:space="preserve"> 39.15</w:t>
      </w:r>
      <w:r>
        <w:rPr>
          <w:rFonts w:ascii="PT Astra Serif" w:hAnsi="PT Astra Serif"/>
        </w:rPr>
        <w:t xml:space="preserve"> Земельного Кодекса Российской Федерации устанавливается порядок п</w:t>
      </w:r>
      <w:r w:rsidRPr="00DC12BC">
        <w:rPr>
          <w:rFonts w:ascii="PT Astra Serif" w:hAnsi="PT Astra Serif"/>
        </w:rPr>
        <w:t>редварительно</w:t>
      </w:r>
      <w:r>
        <w:rPr>
          <w:rFonts w:ascii="PT Astra Serif" w:hAnsi="PT Astra Serif"/>
        </w:rPr>
        <w:t>го</w:t>
      </w:r>
      <w:r w:rsidRPr="00DC12BC">
        <w:rPr>
          <w:rFonts w:ascii="PT Astra Serif" w:hAnsi="PT Astra Serif"/>
        </w:rPr>
        <w:t xml:space="preserve"> согласовани</w:t>
      </w:r>
      <w:r>
        <w:rPr>
          <w:rFonts w:ascii="PT Astra Serif" w:hAnsi="PT Astra Serif"/>
        </w:rPr>
        <w:t>я</w:t>
      </w:r>
      <w:r w:rsidRPr="00DC12BC">
        <w:rPr>
          <w:rFonts w:ascii="PT Astra Serif" w:hAnsi="PT Astra Serif"/>
        </w:rPr>
        <w:t xml:space="preserve"> предоставления земельного участка</w:t>
      </w:r>
      <w:r>
        <w:rPr>
          <w:rFonts w:ascii="PT Astra Serif" w:hAnsi="PT Astra Serif"/>
        </w:rPr>
        <w:t>, в том числе требования к заявлению, перечню необходимых документов, сроки рассмотрения заявления, основания для отказа, а также принятия решения о предварительном согласовании.</w:t>
      </w:r>
    </w:p>
    <w:p w:rsidR="00DC12BC" w:rsidRPr="00DC12BC" w:rsidRDefault="00DC12B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DC12BC">
        <w:rPr>
          <w:rFonts w:ascii="PT Astra Serif" w:hAnsi="PT Astra Serif"/>
        </w:rPr>
        <w:t>По информации разработчика акта</w:t>
      </w:r>
      <w:r>
        <w:rPr>
          <w:rFonts w:ascii="PT Astra Serif" w:hAnsi="PT Astra Serif"/>
        </w:rPr>
        <w:t xml:space="preserve"> действующая редакция </w:t>
      </w:r>
      <w:r w:rsidRPr="00E53C74">
        <w:rPr>
          <w:rFonts w:ascii="PT Astra Serif" w:hAnsi="PT Astra Serif"/>
        </w:rPr>
        <w:t>приказ</w:t>
      </w:r>
      <w:r>
        <w:rPr>
          <w:rFonts w:ascii="PT Astra Serif" w:hAnsi="PT Astra Serif"/>
        </w:rPr>
        <w:t>а</w:t>
      </w:r>
      <w:r w:rsidRPr="00E53C74">
        <w:rPr>
          <w:rFonts w:ascii="PT Astra Serif" w:hAnsi="PT Astra Serif"/>
        </w:rPr>
        <w:t xml:space="preserve"> Министерства строительства и архитектуры Ульяновской области от 05.06.2019 № 97-пр «Об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разграничена»</w:t>
      </w:r>
      <w:r>
        <w:rPr>
          <w:rFonts w:ascii="PT Astra Serif" w:hAnsi="PT Astra Serif"/>
        </w:rPr>
        <w:t xml:space="preserve"> не соответствует ряду положений указанной статьи Земельного Кодекса Российской Федерации, что создаёт препятствия правового характера для предоставления государственной</w:t>
      </w:r>
      <w:proofErr w:type="gramEnd"/>
      <w:r>
        <w:rPr>
          <w:rFonts w:ascii="PT Astra Serif" w:hAnsi="PT Astra Serif"/>
        </w:rPr>
        <w:t xml:space="preserve"> услуги </w:t>
      </w:r>
      <w:r w:rsidRPr="00DC12BC">
        <w:rPr>
          <w:rFonts w:ascii="PT Astra Serif" w:hAnsi="PT Astra Serif"/>
        </w:rPr>
        <w:t>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>
        <w:rPr>
          <w:rFonts w:ascii="PT Astra Serif" w:hAnsi="PT Astra Serif"/>
        </w:rPr>
        <w:t>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C12BC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</w:t>
      </w:r>
      <w:r w:rsidR="00DC12BC" w:rsidRPr="00DC12BC">
        <w:rPr>
          <w:rFonts w:ascii="PT Astra Serif" w:hAnsi="PT Astra Serif"/>
        </w:rPr>
        <w:t>предоставлении государственных услуг в области земельных отношений</w:t>
      </w:r>
      <w:r w:rsidR="003655B6" w:rsidRPr="00DC12BC">
        <w:rPr>
          <w:rFonts w:ascii="PT Astra Serif" w:hAnsi="PT Astra Serif"/>
        </w:rPr>
        <w:t xml:space="preserve"> на территории Ульяновской области</w:t>
      </w:r>
      <w:r w:rsidR="00371E60" w:rsidRPr="00DC12BC">
        <w:rPr>
          <w:rFonts w:ascii="PT Astra Serif" w:hAnsi="PT Astra Serif"/>
        </w:rPr>
        <w:t xml:space="preserve"> с учётом положений федерального законодательства</w:t>
      </w:r>
      <w:r w:rsidRPr="00DC12BC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3D731B" w:rsidRPr="00E33251" w:rsidRDefault="003D731B" w:rsidP="00DA5377">
      <w:pPr>
        <w:ind w:firstLine="709"/>
        <w:jc w:val="both"/>
        <w:rPr>
          <w:rFonts w:ascii="PT Astra Serif" w:hAnsi="PT Astra Serif"/>
        </w:rPr>
      </w:pP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066EC0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EC0">
              <w:rPr>
                <w:rFonts w:ascii="PT Astra Serif" w:hAnsi="PT Astra Serif"/>
                <w:sz w:val="24"/>
                <w:szCs w:val="24"/>
              </w:rPr>
              <w:t>Регламентация предоставления государственной услуги</w:t>
            </w:r>
          </w:p>
        </w:tc>
        <w:tc>
          <w:tcPr>
            <w:tcW w:w="2552" w:type="dxa"/>
            <w:vAlign w:val="center"/>
          </w:tcPr>
          <w:p w:rsidR="00667FE1" w:rsidRPr="00E33251" w:rsidRDefault="00066EC0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057" w:type="dxa"/>
            <w:vAlign w:val="center"/>
          </w:tcPr>
          <w:p w:rsidR="00667FE1" w:rsidRPr="00E33251" w:rsidRDefault="00066EC0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EC0">
              <w:rPr>
                <w:rFonts w:ascii="PT Astra Serif" w:hAnsi="PT Astra Serif"/>
                <w:sz w:val="24"/>
                <w:szCs w:val="24"/>
              </w:rPr>
              <w:t>Предоставление Министерством строительства и архитектуры Ульяновской области государственной услуги в соответствии с утверждённым административным регламентом</w:t>
            </w:r>
          </w:p>
        </w:tc>
      </w:tr>
    </w:tbl>
    <w:p w:rsidR="00DA5377" w:rsidRPr="003D731B" w:rsidRDefault="00DA5377" w:rsidP="00DA5377">
      <w:pPr>
        <w:ind w:firstLine="708"/>
        <w:jc w:val="both"/>
        <w:rPr>
          <w:rFonts w:ascii="PT Astra Serif" w:hAnsi="PT Astra Serif"/>
        </w:rPr>
      </w:pPr>
      <w:r w:rsidRPr="003D731B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3D731B">
        <w:rPr>
          <w:rFonts w:ascii="PT Astra Serif" w:hAnsi="PT Astra Serif"/>
        </w:rPr>
        <w:t>.</w:t>
      </w:r>
    </w:p>
    <w:p w:rsidR="0037454D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454D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37454D">
        <w:rPr>
          <w:rFonts w:ascii="PT Astra Serif" w:hAnsi="PT Astra Serif"/>
        </w:rPr>
        <w:t>части</w:t>
      </w:r>
      <w:r w:rsidR="00A03D2B" w:rsidRPr="0037454D">
        <w:rPr>
          <w:rFonts w:ascii="PT Astra Serif" w:hAnsi="PT Astra Serif"/>
        </w:rPr>
        <w:t xml:space="preserve"> </w:t>
      </w:r>
      <w:r w:rsidR="0037454D" w:rsidRPr="0037454D">
        <w:rPr>
          <w:rFonts w:ascii="PT Astra Serif" w:hAnsi="PT Astra Serif"/>
        </w:rPr>
        <w:t>регламента</w:t>
      </w:r>
      <w:r w:rsidR="0037454D">
        <w:rPr>
          <w:rFonts w:ascii="PT Astra Serif" w:hAnsi="PT Astra Serif"/>
        </w:rPr>
        <w:t>ции порядка</w:t>
      </w:r>
      <w:r w:rsidR="0037454D" w:rsidRPr="0037454D">
        <w:rPr>
          <w:rFonts w:ascii="PT Astra Serif" w:hAnsi="PT Astra Serif"/>
        </w:rPr>
        <w:t xml:space="preserve">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или государственная собственность на которые не разграничена</w:t>
      </w:r>
      <w:r w:rsidR="0037454D">
        <w:rPr>
          <w:rFonts w:ascii="PT Astra Serif" w:hAnsi="PT Astra Serif"/>
        </w:rPr>
        <w:t>, установлено, что во многих субъектах Российской Федерации приняты схожие нормативные правовые акты. Так, например:</w:t>
      </w:r>
    </w:p>
    <w:p w:rsidR="0037454D" w:rsidRDefault="0037454D" w:rsidP="00262F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62F41">
        <w:rPr>
          <w:rFonts w:ascii="PT Astra Serif" w:hAnsi="PT Astra Serif"/>
        </w:rPr>
        <w:t>п</w:t>
      </w:r>
      <w:r w:rsidR="00262F41" w:rsidRPr="00262F41">
        <w:rPr>
          <w:rFonts w:ascii="PT Astra Serif" w:hAnsi="PT Astra Serif"/>
        </w:rPr>
        <w:t>остановление Правительства Челябинской области</w:t>
      </w:r>
      <w:r w:rsidR="00262F41">
        <w:rPr>
          <w:rFonts w:ascii="PT Astra Serif" w:hAnsi="PT Astra Serif"/>
        </w:rPr>
        <w:t xml:space="preserve"> </w:t>
      </w:r>
      <w:r w:rsidR="00262F41" w:rsidRPr="00262F41">
        <w:rPr>
          <w:rFonts w:ascii="PT Astra Serif" w:hAnsi="PT Astra Serif"/>
        </w:rPr>
        <w:t>от 24</w:t>
      </w:r>
      <w:r w:rsidR="00262F41">
        <w:rPr>
          <w:rFonts w:ascii="PT Astra Serif" w:hAnsi="PT Astra Serif"/>
        </w:rPr>
        <w:t>.07.</w:t>
      </w:r>
      <w:r w:rsidR="00262F41" w:rsidRPr="00262F41">
        <w:rPr>
          <w:rFonts w:ascii="PT Astra Serif" w:hAnsi="PT Astra Serif"/>
        </w:rPr>
        <w:t xml:space="preserve">2019 </w:t>
      </w:r>
      <w:r w:rsidR="00262F41">
        <w:rPr>
          <w:rFonts w:ascii="PT Astra Serif" w:hAnsi="PT Astra Serif"/>
        </w:rPr>
        <w:br/>
        <w:t>№</w:t>
      </w:r>
      <w:r w:rsidR="00262F41" w:rsidRPr="00262F41">
        <w:rPr>
          <w:rFonts w:ascii="PT Astra Serif" w:hAnsi="PT Astra Serif"/>
        </w:rPr>
        <w:t xml:space="preserve"> 331-П</w:t>
      </w:r>
      <w:r w:rsidR="00262F41">
        <w:rPr>
          <w:rFonts w:ascii="PT Astra Serif" w:hAnsi="PT Astra Serif"/>
        </w:rPr>
        <w:t xml:space="preserve"> «</w:t>
      </w:r>
      <w:r w:rsidR="00262F41" w:rsidRPr="00262F41">
        <w:rPr>
          <w:rFonts w:ascii="PT Astra Serif" w:hAnsi="PT Astra Serif"/>
        </w:rPr>
        <w:t xml:space="preserve">Об Административном регламенте предоставления государственной услуги </w:t>
      </w:r>
      <w:r w:rsidR="00262F41">
        <w:rPr>
          <w:rFonts w:ascii="PT Astra Serif" w:hAnsi="PT Astra Serif"/>
        </w:rPr>
        <w:t>«</w:t>
      </w:r>
      <w:r w:rsidR="00262F41" w:rsidRPr="00262F41">
        <w:rPr>
          <w:rFonts w:ascii="PT Astra Serif" w:hAnsi="PT Astra Serif"/>
        </w:rPr>
        <w:t>Предварительное согласование предоставления земельных участков, находящихся в государственной собственности Челябинской област</w:t>
      </w:r>
      <w:r w:rsidR="00262F41">
        <w:rPr>
          <w:rFonts w:ascii="PT Astra Serif" w:hAnsi="PT Astra Serif"/>
        </w:rPr>
        <w:t>и»;</w:t>
      </w:r>
    </w:p>
    <w:p w:rsidR="00262F41" w:rsidRDefault="00262F41" w:rsidP="00B668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668BA">
        <w:rPr>
          <w:rFonts w:ascii="PT Astra Serif" w:hAnsi="PT Astra Serif"/>
        </w:rPr>
        <w:t>п</w:t>
      </w:r>
      <w:r w:rsidR="00B668BA" w:rsidRPr="00B668BA">
        <w:rPr>
          <w:rFonts w:ascii="PT Astra Serif" w:hAnsi="PT Astra Serif"/>
        </w:rPr>
        <w:t>риказ Департамента по управлению государственной собственностью Томской области от 28</w:t>
      </w:r>
      <w:r w:rsidR="00B668BA">
        <w:rPr>
          <w:rFonts w:ascii="PT Astra Serif" w:hAnsi="PT Astra Serif"/>
        </w:rPr>
        <w:t>.02.</w:t>
      </w:r>
      <w:r w:rsidR="00B668BA" w:rsidRPr="00B668BA">
        <w:rPr>
          <w:rFonts w:ascii="PT Astra Serif" w:hAnsi="PT Astra Serif"/>
        </w:rPr>
        <w:t xml:space="preserve">2020 </w:t>
      </w:r>
      <w:r w:rsidR="00B668BA">
        <w:rPr>
          <w:rFonts w:ascii="PT Astra Serif" w:hAnsi="PT Astra Serif"/>
        </w:rPr>
        <w:t>№</w:t>
      </w:r>
      <w:r w:rsidR="00B668BA" w:rsidRPr="00B668BA">
        <w:rPr>
          <w:rFonts w:ascii="PT Astra Serif" w:hAnsi="PT Astra Serif"/>
        </w:rPr>
        <w:t xml:space="preserve"> 8</w:t>
      </w:r>
      <w:r w:rsidR="00B668BA">
        <w:rPr>
          <w:rFonts w:ascii="PT Astra Serif" w:hAnsi="PT Astra Serif"/>
        </w:rPr>
        <w:t xml:space="preserve"> «</w:t>
      </w:r>
      <w:r w:rsidR="00B668BA" w:rsidRPr="00B668BA">
        <w:rPr>
          <w:rFonts w:ascii="PT Astra Serif" w:hAnsi="PT Astra Serif"/>
        </w:rPr>
        <w:t xml:space="preserve">Об утверждении Административного регламента предоставления государственной услуги </w:t>
      </w:r>
      <w:r w:rsidR="00B668BA">
        <w:rPr>
          <w:rFonts w:ascii="PT Astra Serif" w:hAnsi="PT Astra Serif"/>
        </w:rPr>
        <w:t>«</w:t>
      </w:r>
      <w:r w:rsidR="00B668BA" w:rsidRPr="00B668BA">
        <w:rPr>
          <w:rFonts w:ascii="PT Astra Serif" w:hAnsi="PT Astra Serif"/>
        </w:rPr>
        <w:t>Предварительное согласование предоставления земельного участка, находящегося в государственно</w:t>
      </w:r>
      <w:r w:rsidR="00B668BA">
        <w:rPr>
          <w:rFonts w:ascii="PT Astra Serif" w:hAnsi="PT Astra Serif"/>
        </w:rPr>
        <w:t>й собственности Томской области»;</w:t>
      </w:r>
    </w:p>
    <w:p w:rsidR="00B668BA" w:rsidRDefault="00B668BA" w:rsidP="00B668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B668BA">
        <w:rPr>
          <w:rFonts w:ascii="PT Astra Serif" w:hAnsi="PT Astra Serif"/>
        </w:rPr>
        <w:t>риказ Министерства природных ресурсов, экологии и имущественных отношений Оренбургской области от 24</w:t>
      </w:r>
      <w:r>
        <w:rPr>
          <w:rFonts w:ascii="PT Astra Serif" w:hAnsi="PT Astra Serif"/>
        </w:rPr>
        <w:t>.11.</w:t>
      </w:r>
      <w:r w:rsidRPr="00B668BA">
        <w:rPr>
          <w:rFonts w:ascii="PT Astra Serif" w:hAnsi="PT Astra Serif"/>
        </w:rPr>
        <w:t xml:space="preserve">2015 </w:t>
      </w:r>
      <w:r>
        <w:rPr>
          <w:rFonts w:ascii="PT Astra Serif" w:hAnsi="PT Astra Serif"/>
        </w:rPr>
        <w:t>№</w:t>
      </w:r>
      <w:r w:rsidRPr="00B668BA">
        <w:rPr>
          <w:rFonts w:ascii="PT Astra Serif" w:hAnsi="PT Astra Serif"/>
        </w:rPr>
        <w:t xml:space="preserve"> 76</w:t>
      </w:r>
      <w:r>
        <w:rPr>
          <w:rFonts w:ascii="PT Astra Serif" w:hAnsi="PT Astra Serif"/>
        </w:rPr>
        <w:t xml:space="preserve"> «</w:t>
      </w:r>
      <w:r w:rsidRPr="00B668BA">
        <w:rPr>
          <w:rFonts w:ascii="PT Astra Serif" w:hAnsi="PT Astra Serif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PT Astra Serif" w:hAnsi="PT Astra Serif"/>
        </w:rPr>
        <w:t>«</w:t>
      </w:r>
      <w:r w:rsidRPr="00B668BA">
        <w:rPr>
          <w:rFonts w:ascii="PT Astra Serif" w:hAnsi="PT Astra Serif"/>
        </w:rPr>
        <w:t>Предварительное согласование предоставления земельного участка, находящегося в государственной соб</w:t>
      </w:r>
      <w:r>
        <w:rPr>
          <w:rFonts w:ascii="PT Astra Serif" w:hAnsi="PT Astra Serif"/>
        </w:rPr>
        <w:t>ственности Оренбургской области»;</w:t>
      </w:r>
    </w:p>
    <w:p w:rsidR="00B668BA" w:rsidRDefault="00B668BA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E6068C">
        <w:rPr>
          <w:rFonts w:ascii="PT Astra Serif" w:hAnsi="PT Astra Serif"/>
        </w:rPr>
        <w:t>п</w:t>
      </w:r>
      <w:r w:rsidR="00E6068C" w:rsidRPr="00E6068C">
        <w:rPr>
          <w:rFonts w:ascii="PT Astra Serif" w:hAnsi="PT Astra Serif"/>
        </w:rPr>
        <w:t>риказ Департамента государственного имущества и земельных отношений Забайкальского края от 28</w:t>
      </w:r>
      <w:r w:rsidR="00E6068C">
        <w:rPr>
          <w:rFonts w:ascii="PT Astra Serif" w:hAnsi="PT Astra Serif"/>
        </w:rPr>
        <w:t>.12.</w:t>
      </w:r>
      <w:r w:rsidR="00E6068C" w:rsidRPr="00E6068C">
        <w:rPr>
          <w:rFonts w:ascii="PT Astra Serif" w:hAnsi="PT Astra Serif"/>
        </w:rPr>
        <w:t xml:space="preserve">2015 </w:t>
      </w:r>
      <w:r w:rsidR="00E6068C">
        <w:rPr>
          <w:rFonts w:ascii="PT Astra Serif" w:hAnsi="PT Astra Serif"/>
        </w:rPr>
        <w:t>№</w:t>
      </w:r>
      <w:r w:rsidR="00E6068C" w:rsidRPr="00E6068C">
        <w:rPr>
          <w:rFonts w:ascii="PT Astra Serif" w:hAnsi="PT Astra Serif"/>
        </w:rPr>
        <w:t xml:space="preserve"> 18/НПА</w:t>
      </w:r>
      <w:r w:rsidR="00E6068C">
        <w:rPr>
          <w:rFonts w:ascii="PT Astra Serif" w:hAnsi="PT Astra Serif"/>
        </w:rPr>
        <w:t xml:space="preserve"> «</w:t>
      </w:r>
      <w:r w:rsidR="00E6068C" w:rsidRPr="00E6068C">
        <w:rPr>
          <w:rFonts w:ascii="PT Astra Serif" w:hAnsi="PT Astra Serif"/>
        </w:rPr>
        <w:t xml:space="preserve">Об утверждении административного регламента предоставления государственной услуги </w:t>
      </w:r>
      <w:r w:rsidR="00E6068C">
        <w:rPr>
          <w:rFonts w:ascii="PT Astra Serif" w:hAnsi="PT Astra Serif"/>
        </w:rPr>
        <w:t>«</w:t>
      </w:r>
      <w:r w:rsidR="00E6068C" w:rsidRPr="00E6068C">
        <w:rPr>
          <w:rFonts w:ascii="PT Astra Serif" w:hAnsi="PT Astra Serif"/>
        </w:rPr>
        <w:t xml:space="preserve">Предварительное согласование предоставления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</w:t>
      </w:r>
      <w:r w:rsidR="00E6068C">
        <w:rPr>
          <w:rFonts w:ascii="PT Astra Serif" w:hAnsi="PT Astra Serif"/>
        </w:rPr>
        <w:t>«</w:t>
      </w:r>
      <w:r w:rsidR="00E6068C" w:rsidRPr="00E6068C">
        <w:rPr>
          <w:rFonts w:ascii="PT Astra Serif" w:hAnsi="PT Astra Serif"/>
        </w:rPr>
        <w:t>Забайкальское</w:t>
      </w:r>
      <w:r w:rsidR="00E6068C">
        <w:rPr>
          <w:rFonts w:ascii="PT Astra Serif" w:hAnsi="PT Astra Serif"/>
        </w:rPr>
        <w:t>»</w:t>
      </w:r>
      <w:r w:rsidR="00E6068C" w:rsidRPr="00E6068C">
        <w:rPr>
          <w:rFonts w:ascii="PT Astra Serif" w:hAnsi="PT Astra Serif"/>
        </w:rPr>
        <w:t xml:space="preserve"> муниципального района </w:t>
      </w:r>
      <w:r w:rsidR="00E6068C">
        <w:rPr>
          <w:rFonts w:ascii="PT Astra Serif" w:hAnsi="PT Astra Serif"/>
        </w:rPr>
        <w:t>«</w:t>
      </w:r>
      <w:r w:rsidR="00E6068C" w:rsidRPr="00E6068C">
        <w:rPr>
          <w:rFonts w:ascii="PT Astra Serif" w:hAnsi="PT Astra Serif"/>
        </w:rPr>
        <w:t>Забайкальский район</w:t>
      </w:r>
      <w:r w:rsidR="00E6068C">
        <w:rPr>
          <w:rFonts w:ascii="PT Astra Serif" w:hAnsi="PT Astra Serif"/>
        </w:rPr>
        <w:t>»</w:t>
      </w:r>
      <w:r w:rsidR="00E6068C" w:rsidRPr="00E6068C">
        <w:rPr>
          <w:rFonts w:ascii="PT Astra Serif" w:hAnsi="PT Astra Serif"/>
        </w:rPr>
        <w:t>, государственная собственность на которые</w:t>
      </w:r>
      <w:proofErr w:type="gramEnd"/>
      <w:r w:rsidR="00E6068C" w:rsidRPr="00E6068C">
        <w:rPr>
          <w:rFonts w:ascii="PT Astra Serif" w:hAnsi="PT Astra Serif"/>
        </w:rPr>
        <w:t xml:space="preserve"> не разграничена</w:t>
      </w:r>
      <w:r w:rsidR="00E6068C">
        <w:rPr>
          <w:rFonts w:ascii="PT Astra Serif" w:hAnsi="PT Astra Serif"/>
        </w:rPr>
        <w:t>».</w:t>
      </w:r>
    </w:p>
    <w:p w:rsidR="00E6068C" w:rsidRDefault="00E6068C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lastRenderedPageBreak/>
        <w:t xml:space="preserve">Таким образом, </w:t>
      </w:r>
      <w:r w:rsidR="002763D0"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37454D" w:rsidRDefault="0037454D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DA5377" w:rsidRPr="0091371C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91371C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4E0A9A" w:rsidRDefault="004E0A9A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Частью</w:t>
      </w:r>
      <w:r w:rsidRPr="004E0A9A">
        <w:rPr>
          <w:rFonts w:ascii="PT Astra Serif" w:hAnsi="PT Astra Serif"/>
        </w:rPr>
        <w:t xml:space="preserve"> 1 статьи 12 Федерального закона от 27.07.2010 № 210-ФЗ «Об организации предоставления государственных и муниципальных услуг» </w:t>
      </w:r>
      <w:r>
        <w:rPr>
          <w:rFonts w:ascii="PT Astra Serif" w:hAnsi="PT Astra Serif"/>
        </w:rPr>
        <w:t>предусмотрено, что п</w:t>
      </w:r>
      <w:r w:rsidRPr="004E0A9A">
        <w:rPr>
          <w:rFonts w:ascii="PT Astra Serif" w:hAnsi="PT Astra Serif"/>
        </w:rPr>
        <w:t>редоставление государственных и муниципальных услуг осуществляется в соответствии с административными регламентами.</w:t>
      </w:r>
      <w:r>
        <w:rPr>
          <w:rFonts w:ascii="PT Astra Serif" w:hAnsi="PT Astra Serif"/>
        </w:rPr>
        <w:t xml:space="preserve"> </w:t>
      </w:r>
      <w:r w:rsidRPr="004E0A9A">
        <w:rPr>
          <w:rFonts w:ascii="PT Astra Serif" w:hAnsi="PT Astra Serif"/>
        </w:rPr>
        <w:t>Отсутствие регламентации предоставления государственной услуги может привести к злоупотреблению правами заявителей.</w:t>
      </w:r>
    </w:p>
    <w:p w:rsidR="004E0A9A" w:rsidRPr="00816F28" w:rsidRDefault="004E0A9A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д</w:t>
      </w:r>
      <w:r w:rsidRPr="00816F28">
        <w:rPr>
          <w:rFonts w:ascii="PT Astra Serif" w:hAnsi="PT Astra Serif"/>
        </w:rPr>
        <w:t>ополнительных расходов областного бюджета Ульяновской области</w:t>
      </w:r>
      <w:r>
        <w:rPr>
          <w:rFonts w:ascii="PT Astra Serif" w:hAnsi="PT Astra Serif"/>
        </w:rPr>
        <w:t xml:space="preserve">, возникающих в связи с принятием проекта акта, </w:t>
      </w:r>
      <w:r w:rsidRPr="00816F28">
        <w:rPr>
          <w:rFonts w:ascii="PT Astra Serif" w:hAnsi="PT Astra Serif"/>
        </w:rPr>
        <w:t>не потребуется.</w:t>
      </w:r>
    </w:p>
    <w:p w:rsidR="004E0A9A" w:rsidRPr="00816F28" w:rsidRDefault="004E0A9A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816F28">
        <w:rPr>
          <w:rFonts w:ascii="PT Astra Serif" w:hAnsi="PT Astra Serif"/>
        </w:rPr>
        <w:t xml:space="preserve">Однако данный вариант решения проблемы не позволит устранить ситуацию правовой неопределённости при предоставлении государственной услуги </w:t>
      </w:r>
      <w:r w:rsidRPr="004E0A9A">
        <w:rPr>
          <w:rFonts w:ascii="PT Astra Serif" w:hAnsi="PT Astra Serif"/>
        </w:rPr>
        <w:t>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>
        <w:rPr>
          <w:rFonts w:ascii="PT Astra Serif" w:hAnsi="PT Astra Serif"/>
        </w:rPr>
        <w:t>, что будет способствовать ущемлению прав заявителей, а также не позволит Министерству строительства и архитектуры Ульяновской области исполнять возложенные полномочия в области земельных отношений.</w:t>
      </w:r>
      <w:proofErr w:type="gramEnd"/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225CC">
        <w:rPr>
          <w:rFonts w:ascii="PT Astra Serif" w:hAnsi="PT Astra Serif"/>
        </w:rPr>
        <w:t>физические</w:t>
      </w:r>
      <w:r w:rsidR="000225CC" w:rsidRPr="000225CC">
        <w:rPr>
          <w:rFonts w:ascii="PT Astra Serif" w:hAnsi="PT Astra Serif"/>
        </w:rPr>
        <w:t xml:space="preserve"> лица, индивидуальны</w:t>
      </w:r>
      <w:r w:rsidR="000225CC">
        <w:rPr>
          <w:rFonts w:ascii="PT Astra Serif" w:hAnsi="PT Astra Serif"/>
        </w:rPr>
        <w:t>е</w:t>
      </w:r>
      <w:r w:rsidR="000225CC" w:rsidRPr="000225CC">
        <w:rPr>
          <w:rFonts w:ascii="PT Astra Serif" w:hAnsi="PT Astra Serif"/>
        </w:rPr>
        <w:t xml:space="preserve"> предпринимател</w:t>
      </w:r>
      <w:r w:rsidR="000225CC">
        <w:rPr>
          <w:rFonts w:ascii="PT Astra Serif" w:hAnsi="PT Astra Serif"/>
        </w:rPr>
        <w:t>и</w:t>
      </w:r>
      <w:r w:rsidR="000225CC" w:rsidRPr="000225CC">
        <w:rPr>
          <w:rFonts w:ascii="PT Astra Serif" w:hAnsi="PT Astra Serif"/>
        </w:rPr>
        <w:t xml:space="preserve"> или юридически</w:t>
      </w:r>
      <w:r w:rsidR="000225CC">
        <w:rPr>
          <w:rFonts w:ascii="PT Astra Serif" w:hAnsi="PT Astra Serif"/>
        </w:rPr>
        <w:t>е</w:t>
      </w:r>
      <w:r w:rsidR="000225CC" w:rsidRPr="000225CC">
        <w:rPr>
          <w:rFonts w:ascii="PT Astra Serif" w:hAnsi="PT Astra Serif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0225CC">
        <w:rPr>
          <w:rFonts w:ascii="PT Astra Serif" w:hAnsi="PT Astra Serif"/>
        </w:rPr>
        <w:t>е</w:t>
      </w:r>
      <w:r w:rsidR="000225CC" w:rsidRPr="000225CC">
        <w:rPr>
          <w:rFonts w:ascii="PT Astra Serif" w:hAnsi="PT Astra Serif"/>
        </w:rPr>
        <w:t xml:space="preserve"> представител</w:t>
      </w:r>
      <w:r w:rsidR="000225CC">
        <w:rPr>
          <w:rFonts w:ascii="PT Astra Serif" w:hAnsi="PT Astra Serif"/>
        </w:rPr>
        <w:t>и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0225CC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0225CC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 xml:space="preserve">ния концепции регулирования (с </w:t>
      </w:r>
      <w:r w:rsidR="00D07495">
        <w:rPr>
          <w:rFonts w:ascii="PT Astra Serif" w:hAnsi="PT Astra Serif"/>
        </w:rPr>
        <w:t>06</w:t>
      </w:r>
      <w:r w:rsidRPr="00532365">
        <w:rPr>
          <w:rFonts w:ascii="PT Astra Serif" w:hAnsi="PT Astra Serif"/>
        </w:rPr>
        <w:t>.0</w:t>
      </w:r>
      <w:r w:rsidR="00D07495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D07495">
        <w:rPr>
          <w:rFonts w:ascii="PT Astra Serif" w:hAnsi="PT Astra Serif"/>
        </w:rPr>
        <w:t>15</w:t>
      </w:r>
      <w:r w:rsidRPr="00532365">
        <w:rPr>
          <w:rFonts w:ascii="PT Astra Serif" w:hAnsi="PT Astra Serif"/>
        </w:rPr>
        <w:t>.0</w:t>
      </w:r>
      <w:r w:rsidR="00D07495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07495">
        <w:rPr>
          <w:rFonts w:ascii="PT Astra Serif" w:hAnsi="PT Astra Serif"/>
        </w:rPr>
        <w:t>24</w:t>
      </w:r>
      <w:r w:rsidRPr="00532365">
        <w:rPr>
          <w:rFonts w:ascii="PT Astra Serif" w:hAnsi="PT Astra Serif"/>
        </w:rPr>
        <w:t>.0</w:t>
      </w:r>
      <w:r w:rsidR="00D07495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D07495">
        <w:rPr>
          <w:rFonts w:ascii="PT Astra Serif" w:hAnsi="PT Astra Serif"/>
        </w:rPr>
        <w:t>08</w:t>
      </w:r>
      <w:r w:rsidRPr="00532365">
        <w:rPr>
          <w:rFonts w:ascii="PT Astra Serif" w:hAnsi="PT Astra Serif"/>
        </w:rPr>
        <w:t>.</w:t>
      </w:r>
      <w:r w:rsidR="00D07495">
        <w:rPr>
          <w:rFonts w:ascii="PT Astra Serif" w:hAnsi="PT Astra Serif"/>
        </w:rPr>
        <w:t>10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</w:t>
      </w:r>
      <w:r w:rsidRPr="00532365">
        <w:rPr>
          <w:rFonts w:ascii="PT Astra Serif" w:hAnsi="PT Astra Serif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1038C2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 содержит положений, </w:t>
      </w:r>
      <w:r w:rsidR="001038C2" w:rsidRPr="001038C2">
        <w:rPr>
          <w:rFonts w:ascii="PT Astra Serif" w:hAnsi="PT Astra Serif"/>
          <w:color w:val="000000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</w:t>
      </w:r>
      <w:r w:rsidR="001038C2">
        <w:rPr>
          <w:rFonts w:ascii="PT Astra Serif" w:hAnsi="PT Astra Serif"/>
          <w:color w:val="000000"/>
        </w:rPr>
        <w:t>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4E0A9A" w:rsidRDefault="004E0A9A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B1" w:rsidRDefault="00DE71B1" w:rsidP="00424FB5">
      <w:r>
        <w:separator/>
      </w:r>
    </w:p>
  </w:endnote>
  <w:endnote w:type="continuationSeparator" w:id="0">
    <w:p w:rsidR="00DE71B1" w:rsidRDefault="00DE71B1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B1" w:rsidRDefault="00DE71B1" w:rsidP="00424FB5">
      <w:r>
        <w:separator/>
      </w:r>
    </w:p>
  </w:footnote>
  <w:footnote w:type="continuationSeparator" w:id="0">
    <w:p w:rsidR="00DE71B1" w:rsidRDefault="00DE71B1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4E0A9A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25CC"/>
    <w:rsid w:val="00025CDE"/>
    <w:rsid w:val="00032859"/>
    <w:rsid w:val="00032DEE"/>
    <w:rsid w:val="000626B5"/>
    <w:rsid w:val="000655FE"/>
    <w:rsid w:val="00066EC0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038C2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A12CC"/>
    <w:rsid w:val="001B1B26"/>
    <w:rsid w:val="001C521B"/>
    <w:rsid w:val="001D700D"/>
    <w:rsid w:val="001D7C48"/>
    <w:rsid w:val="001E5EF6"/>
    <w:rsid w:val="00217A25"/>
    <w:rsid w:val="002335A4"/>
    <w:rsid w:val="00234336"/>
    <w:rsid w:val="002447C1"/>
    <w:rsid w:val="00257389"/>
    <w:rsid w:val="002608FD"/>
    <w:rsid w:val="00262F41"/>
    <w:rsid w:val="002644D8"/>
    <w:rsid w:val="002647EF"/>
    <w:rsid w:val="002763D0"/>
    <w:rsid w:val="00287979"/>
    <w:rsid w:val="0029018C"/>
    <w:rsid w:val="002920B4"/>
    <w:rsid w:val="0029684E"/>
    <w:rsid w:val="00297E17"/>
    <w:rsid w:val="002B567E"/>
    <w:rsid w:val="002D43F3"/>
    <w:rsid w:val="002D67DA"/>
    <w:rsid w:val="002E3604"/>
    <w:rsid w:val="002F1A97"/>
    <w:rsid w:val="002F2F3C"/>
    <w:rsid w:val="00302DBC"/>
    <w:rsid w:val="00312EB8"/>
    <w:rsid w:val="00325BF3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7454D"/>
    <w:rsid w:val="00381E7B"/>
    <w:rsid w:val="0038567E"/>
    <w:rsid w:val="003B2889"/>
    <w:rsid w:val="003B661B"/>
    <w:rsid w:val="003C3768"/>
    <w:rsid w:val="003C53BF"/>
    <w:rsid w:val="003D731B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86D0A"/>
    <w:rsid w:val="004E0A9A"/>
    <w:rsid w:val="004E7C00"/>
    <w:rsid w:val="00503696"/>
    <w:rsid w:val="00504B63"/>
    <w:rsid w:val="005101DD"/>
    <w:rsid w:val="0052020A"/>
    <w:rsid w:val="005223F4"/>
    <w:rsid w:val="00523814"/>
    <w:rsid w:val="00532365"/>
    <w:rsid w:val="00534F8B"/>
    <w:rsid w:val="00537C65"/>
    <w:rsid w:val="0054037D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74EC2"/>
    <w:rsid w:val="0078487F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1371C"/>
    <w:rsid w:val="00923F8B"/>
    <w:rsid w:val="00936293"/>
    <w:rsid w:val="00950746"/>
    <w:rsid w:val="00963D0B"/>
    <w:rsid w:val="00964242"/>
    <w:rsid w:val="009717A2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331AC"/>
    <w:rsid w:val="00A60C26"/>
    <w:rsid w:val="00A6261A"/>
    <w:rsid w:val="00A65823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668BA"/>
    <w:rsid w:val="00B7087D"/>
    <w:rsid w:val="00B718A5"/>
    <w:rsid w:val="00B72353"/>
    <w:rsid w:val="00B80342"/>
    <w:rsid w:val="00B83933"/>
    <w:rsid w:val="00B83AD3"/>
    <w:rsid w:val="00B97DE7"/>
    <w:rsid w:val="00BA32D9"/>
    <w:rsid w:val="00BA3911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69B4"/>
    <w:rsid w:val="00CF7396"/>
    <w:rsid w:val="00CF74B1"/>
    <w:rsid w:val="00D03245"/>
    <w:rsid w:val="00D070A5"/>
    <w:rsid w:val="00D0749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12BC"/>
    <w:rsid w:val="00DC336D"/>
    <w:rsid w:val="00DD2ED4"/>
    <w:rsid w:val="00DD4674"/>
    <w:rsid w:val="00DD6BC4"/>
    <w:rsid w:val="00DE62FA"/>
    <w:rsid w:val="00DE71B1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3C74"/>
    <w:rsid w:val="00E57BE4"/>
    <w:rsid w:val="00E6068C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4D33"/>
    <w:rsid w:val="00F47A2F"/>
    <w:rsid w:val="00F52CA3"/>
    <w:rsid w:val="00F62088"/>
    <w:rsid w:val="00FA7A40"/>
    <w:rsid w:val="00FB1F1F"/>
    <w:rsid w:val="00FB7C2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4550-4800-4E1C-863D-39E7364F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121</cp:revision>
  <cp:lastPrinted>2021-09-03T10:56:00Z</cp:lastPrinted>
  <dcterms:created xsi:type="dcterms:W3CDTF">2021-08-10T11:03:00Z</dcterms:created>
  <dcterms:modified xsi:type="dcterms:W3CDTF">2021-10-29T07:45:00Z</dcterms:modified>
</cp:coreProperties>
</file>