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53482E" w:rsidRDefault="00DB0825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</w:p>
    <w:tbl>
      <w:tblPr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425"/>
        <w:gridCol w:w="1191"/>
        <w:gridCol w:w="198"/>
        <w:gridCol w:w="454"/>
        <w:gridCol w:w="198"/>
        <w:gridCol w:w="4054"/>
        <w:gridCol w:w="198"/>
      </w:tblGrid>
      <w:tr w:rsidR="001865CB" w:rsidRPr="0053482E" w:rsidTr="0066112B">
        <w:trPr>
          <w:gridAfter w:val="1"/>
          <w:wAfter w:w="198" w:type="dxa"/>
          <w:trHeight w:val="283"/>
        </w:trPr>
        <w:tc>
          <w:tcPr>
            <w:tcW w:w="680" w:type="dxa"/>
            <w:shd w:val="clear" w:color="auto" w:fill="auto"/>
          </w:tcPr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052F97" w:rsidRPr="0053482E" w:rsidRDefault="00052F97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53482E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052F97" w:rsidRPr="0053482E" w:rsidRDefault="00052F97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1865CB" w:rsidRPr="0053482E" w:rsidRDefault="00160712" w:rsidP="00F2182B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53482E">
              <w:rPr>
                <w:rFonts w:ascii="PT Astra Serif" w:hAnsi="PT Astra Serif"/>
                <w:sz w:val="22"/>
                <w:szCs w:val="22"/>
              </w:rPr>
              <w:t>73-ИОГВ-06-01/2042вн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52F97" w:rsidRPr="0053482E" w:rsidRDefault="00052F97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53482E" w:rsidRDefault="001865C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52F97" w:rsidRPr="0053482E" w:rsidRDefault="00052F97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53482E" w:rsidRDefault="0076518B" w:rsidP="003E16CA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t>0</w:t>
            </w:r>
            <w:r w:rsidR="003E16CA" w:rsidRPr="0053482E">
              <w:rPr>
                <w:rFonts w:ascii="PT Astra Serif" w:hAnsi="PT Astra Serif"/>
                <w:sz w:val="24"/>
                <w:szCs w:val="24"/>
              </w:rPr>
              <w:t>4</w:t>
            </w:r>
            <w:r w:rsidR="004856CD" w:rsidRPr="0053482E">
              <w:rPr>
                <w:rFonts w:ascii="PT Astra Serif" w:hAnsi="PT Astra Serif"/>
                <w:sz w:val="24"/>
                <w:szCs w:val="24"/>
              </w:rPr>
              <w:t>.</w:t>
            </w:r>
            <w:r w:rsidRPr="0053482E">
              <w:rPr>
                <w:rFonts w:ascii="PT Astra Serif" w:hAnsi="PT Astra Serif"/>
                <w:sz w:val="24"/>
                <w:szCs w:val="24"/>
              </w:rPr>
              <w:t>10</w:t>
            </w:r>
            <w:r w:rsidR="004856CD" w:rsidRPr="0053482E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65CB" w:rsidRPr="0053482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60712" w:rsidRPr="0053482E" w:rsidRDefault="00CF7396" w:rsidP="0016071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3482E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53482E">
              <w:rPr>
                <w:rFonts w:ascii="PT Astra Serif" w:hAnsi="PT Astra Serif"/>
                <w:b/>
              </w:rPr>
              <w:t xml:space="preserve"> обязанности </w:t>
            </w:r>
            <w:r w:rsidR="00160712" w:rsidRPr="0053482E">
              <w:rPr>
                <w:rFonts w:ascii="PT Astra Serif" w:hAnsi="PT Astra Serif"/>
                <w:b/>
              </w:rPr>
              <w:t>Министра транспорта</w:t>
            </w:r>
          </w:p>
          <w:p w:rsidR="00160712" w:rsidRPr="0053482E" w:rsidRDefault="00160712" w:rsidP="00160712">
            <w:pPr>
              <w:jc w:val="center"/>
              <w:rPr>
                <w:rFonts w:ascii="PT Astra Serif" w:hAnsi="PT Astra Serif"/>
                <w:b/>
              </w:rPr>
            </w:pPr>
            <w:r w:rsidRPr="0053482E">
              <w:rPr>
                <w:rFonts w:ascii="PT Astra Serif" w:hAnsi="PT Astra Serif"/>
                <w:b/>
              </w:rPr>
              <w:t>Ульяновской области</w:t>
            </w:r>
          </w:p>
          <w:p w:rsidR="00160712" w:rsidRPr="0053482E" w:rsidRDefault="00160712" w:rsidP="0016071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53482E" w:rsidRDefault="00160712" w:rsidP="00160712">
            <w:pPr>
              <w:jc w:val="center"/>
              <w:rPr>
                <w:rFonts w:ascii="PT Astra Serif" w:hAnsi="PT Astra Serif"/>
                <w:b/>
              </w:rPr>
            </w:pPr>
            <w:r w:rsidRPr="0053482E">
              <w:rPr>
                <w:rFonts w:ascii="PT Astra Serif" w:hAnsi="PT Astra Serif"/>
                <w:b/>
              </w:rPr>
              <w:t>Лазареву Е.А.</w:t>
            </w:r>
          </w:p>
        </w:tc>
      </w:tr>
      <w:tr w:rsidR="0076518B" w:rsidRPr="0053482E" w:rsidTr="0066112B">
        <w:trPr>
          <w:trHeight w:val="1191"/>
        </w:trPr>
        <w:tc>
          <w:tcPr>
            <w:tcW w:w="4933" w:type="dxa"/>
            <w:gridSpan w:val="5"/>
            <w:shd w:val="clear" w:color="auto" w:fill="auto"/>
          </w:tcPr>
          <w:p w:rsidR="0076518B" w:rsidRPr="0053482E" w:rsidRDefault="0076518B" w:rsidP="00964242">
            <w:pPr>
              <w:ind w:left="-108"/>
              <w:rPr>
                <w:rFonts w:ascii="PT Astra Serif" w:hAnsi="PT Astra Serif"/>
              </w:rPr>
            </w:pPr>
          </w:p>
          <w:p w:rsidR="0076518B" w:rsidRPr="0053482E" w:rsidRDefault="0076518B" w:rsidP="00964242">
            <w:pPr>
              <w:ind w:left="-108"/>
              <w:rPr>
                <w:rFonts w:ascii="PT Astra Serif" w:hAnsi="PT Astra Serif"/>
              </w:rPr>
            </w:pPr>
            <w:r w:rsidRPr="0053482E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76518B" w:rsidRPr="0053482E" w:rsidRDefault="0076518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6518B" w:rsidRPr="0053482E" w:rsidRDefault="0076518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6518B" w:rsidRPr="0053482E" w:rsidRDefault="0076518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964242" w:rsidRPr="0053482E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052F97" w:rsidRPr="0053482E" w:rsidRDefault="00052F97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53482E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160712" w:rsidRPr="0053482E" w:rsidRDefault="00160712" w:rsidP="00160712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53482E">
        <w:rPr>
          <w:rFonts w:ascii="PT Astra Serif" w:eastAsia="Calibri" w:hAnsi="PT Astra Serif" w:cs="Calibri"/>
          <w:b/>
        </w:rPr>
        <w:t>Уважаемый Евгений Александрович</w:t>
      </w:r>
      <w:r w:rsidRPr="0053482E">
        <w:rPr>
          <w:rFonts w:ascii="PT Astra Serif" w:eastAsia="PT Astra Serif" w:hAnsi="PT Astra Serif" w:cs="PT Astra Serif"/>
          <w:b/>
        </w:rPr>
        <w:t>!</w:t>
      </w:r>
    </w:p>
    <w:p w:rsidR="005C2B50" w:rsidRPr="0053482E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53482E" w:rsidRDefault="005C2B50" w:rsidP="006611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53482E">
        <w:rPr>
          <w:rFonts w:ascii="PT Astra Serif" w:hAnsi="PT Astra Serif"/>
        </w:rPr>
        <w:t xml:space="preserve">по результатам рассмотрения проекта </w:t>
      </w:r>
      <w:r w:rsidR="003848E3" w:rsidRPr="0053482E">
        <w:rPr>
          <w:rFonts w:ascii="PT Astra Serif" w:hAnsi="PT Astra Serif"/>
        </w:rPr>
        <w:t>Закона Ульяновской области «О некоторых мерах, способствующих расширению масштабов строительства на территории Ульяновской области объектов заправки транспортных сре</w:t>
      </w:r>
      <w:proofErr w:type="gramStart"/>
      <w:r w:rsidR="003848E3" w:rsidRPr="0053482E">
        <w:rPr>
          <w:rFonts w:ascii="PT Astra Serif" w:hAnsi="PT Astra Serif"/>
        </w:rPr>
        <w:t>дств пр</w:t>
      </w:r>
      <w:proofErr w:type="gramEnd"/>
      <w:r w:rsidR="003848E3" w:rsidRPr="0053482E">
        <w:rPr>
          <w:rFonts w:ascii="PT Astra Serif" w:hAnsi="PT Astra Serif"/>
        </w:rPr>
        <w:t>иродным газом»</w:t>
      </w:r>
      <w:r w:rsidRPr="0053482E">
        <w:rPr>
          <w:rFonts w:ascii="PT Astra Serif" w:hAnsi="PT Astra Serif"/>
        </w:rPr>
        <w:t xml:space="preserve"> </w:t>
      </w:r>
      <w:r w:rsidR="00964242" w:rsidRPr="0053482E">
        <w:rPr>
          <w:rFonts w:ascii="PT Astra Serif" w:hAnsi="PT Astra Serif"/>
        </w:rPr>
        <w:t>направляет</w:t>
      </w:r>
      <w:r w:rsidRPr="0053482E">
        <w:rPr>
          <w:rFonts w:ascii="PT Astra Serif" w:hAnsi="PT Astra Serif"/>
        </w:rPr>
        <w:t xml:space="preserve"> следующее заключение.</w:t>
      </w:r>
    </w:p>
    <w:p w:rsidR="00E23678" w:rsidRPr="0053482E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53482E" w:rsidRDefault="00964242" w:rsidP="00964242">
      <w:pPr>
        <w:jc w:val="center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Заключение</w:t>
      </w:r>
    </w:p>
    <w:p w:rsidR="003848E3" w:rsidRPr="0053482E" w:rsidRDefault="00964242" w:rsidP="0066112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3848E3" w:rsidRPr="0053482E">
        <w:rPr>
          <w:rFonts w:ascii="PT Astra Serif" w:hAnsi="PT Astra Serif"/>
          <w:b/>
        </w:rPr>
        <w:t xml:space="preserve">Закона </w:t>
      </w:r>
    </w:p>
    <w:p w:rsidR="00964242" w:rsidRPr="0053482E" w:rsidRDefault="003848E3" w:rsidP="0066112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Ульяновской области «О некоторых мерах, способствующих расширению масштабов строительства на территории Ульяновской области объектов заправки транспортных сре</w:t>
      </w:r>
      <w:proofErr w:type="gramStart"/>
      <w:r w:rsidRPr="0053482E">
        <w:rPr>
          <w:rFonts w:ascii="PT Astra Serif" w:hAnsi="PT Astra Serif"/>
          <w:b/>
        </w:rPr>
        <w:t>дств пр</w:t>
      </w:r>
      <w:proofErr w:type="gramEnd"/>
      <w:r w:rsidRPr="0053482E">
        <w:rPr>
          <w:rFonts w:ascii="PT Astra Serif" w:hAnsi="PT Astra Serif"/>
          <w:b/>
        </w:rPr>
        <w:t>иродным газом»</w:t>
      </w:r>
    </w:p>
    <w:p w:rsidR="00E23678" w:rsidRPr="0053482E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53482E" w:rsidRDefault="00DA5377" w:rsidP="0066112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53482E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53482E">
        <w:rPr>
          <w:rFonts w:ascii="PT Astra Serif" w:hAnsi="PT Astra Serif"/>
        </w:rPr>
        <w:t xml:space="preserve"> </w:t>
      </w:r>
      <w:proofErr w:type="gramStart"/>
      <w:r w:rsidRPr="0053482E">
        <w:rPr>
          <w:rFonts w:ascii="PT Astra Serif" w:hAnsi="PT Astra Serif"/>
        </w:rPr>
        <w:t>осуществление предпринимательской и</w:t>
      </w:r>
      <w:r w:rsidR="009F6198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</w:t>
      </w:r>
      <w:r w:rsidRPr="0053482E">
        <w:rPr>
          <w:rFonts w:ascii="PT Astra Serif" w:hAnsi="PT Astra Serif"/>
        </w:rPr>
        <w:lastRenderedPageBreak/>
        <w:t>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53482E">
        <w:rPr>
          <w:rFonts w:ascii="PT Astra Serif" w:hAnsi="PT Astra Serif"/>
        </w:rPr>
        <w:t xml:space="preserve"> </w:t>
      </w:r>
      <w:proofErr w:type="gramStart"/>
      <w:r w:rsidRPr="0053482E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3848E3" w:rsidRPr="0053482E">
        <w:rPr>
          <w:rFonts w:ascii="PT Astra Serif" w:hAnsi="PT Astra Serif"/>
        </w:rPr>
        <w:t xml:space="preserve">Закона Ульяновской области «О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газом» </w:t>
      </w:r>
      <w:r w:rsidRPr="0053482E">
        <w:rPr>
          <w:rFonts w:ascii="PT Astra Serif" w:hAnsi="PT Astra Serif"/>
        </w:rPr>
        <w:t xml:space="preserve">(далее – проект акта), подготовленный и направленный для подготовки настоящего заключения </w:t>
      </w:r>
      <w:r w:rsidR="0066112B" w:rsidRPr="0053482E">
        <w:rPr>
          <w:rFonts w:ascii="PT Astra Serif" w:hAnsi="PT Astra Serif"/>
        </w:rPr>
        <w:t xml:space="preserve">Министерством </w:t>
      </w:r>
      <w:r w:rsidR="003848E3" w:rsidRPr="0053482E">
        <w:rPr>
          <w:rFonts w:ascii="PT Astra Serif" w:hAnsi="PT Astra Serif"/>
        </w:rPr>
        <w:t>транспорта</w:t>
      </w:r>
      <w:r w:rsidR="00E26CF5" w:rsidRPr="0053482E">
        <w:rPr>
          <w:rFonts w:ascii="PT Astra Serif" w:hAnsi="PT Astra Serif"/>
        </w:rPr>
        <w:t xml:space="preserve"> Ульяновской области</w:t>
      </w:r>
      <w:r w:rsidR="00CF7396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(далее – разработчик акта), Правительство Ульяновской области сообщает</w:t>
      </w:r>
      <w:proofErr w:type="gramEnd"/>
      <w:r w:rsidRPr="0053482E">
        <w:rPr>
          <w:rFonts w:ascii="PT Astra Serif" w:hAnsi="PT Astra Serif"/>
        </w:rPr>
        <w:t xml:space="preserve"> следующее.</w:t>
      </w:r>
    </w:p>
    <w:p w:rsidR="00DA5377" w:rsidRPr="0053482E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Pr="0053482E" w:rsidRDefault="00DA5377" w:rsidP="001E6542">
      <w:pPr>
        <w:ind w:firstLine="720"/>
        <w:jc w:val="both"/>
        <w:rPr>
          <w:rFonts w:ascii="PT Astra Serif" w:hAnsi="PT Astra Serif" w:cs="PT Astra Serif"/>
        </w:rPr>
      </w:pPr>
      <w:r w:rsidRPr="0053482E">
        <w:rPr>
          <w:rFonts w:ascii="PT Astra Serif" w:hAnsi="PT Astra Serif"/>
        </w:rPr>
        <w:t xml:space="preserve">Проект акта разработан в </w:t>
      </w:r>
      <w:r w:rsidR="003848E3" w:rsidRPr="0053482E">
        <w:rPr>
          <w:rFonts w:ascii="PT Astra Serif" w:hAnsi="PT Astra Serif"/>
        </w:rPr>
        <w:t>целях реализации государственной программы Российской Федерации «Развитие энергетики» (подпрограммы «Развитие рынка газомоторного топлива») утверждённой постановлением Правительства Российской Федерации от 15.04.2014 № 321 «Об утверждении государственной программы Российской Федерации «Развитие энергетики» (далее – государственная программа «Развитие энергетики»)</w:t>
      </w:r>
      <w:r w:rsidR="00560C7C" w:rsidRPr="0053482E">
        <w:rPr>
          <w:rFonts w:ascii="PT Astra Serif" w:hAnsi="PT Astra Serif" w:cs="PT Astra Serif"/>
        </w:rPr>
        <w:t>.</w:t>
      </w:r>
    </w:p>
    <w:p w:rsidR="008867B5" w:rsidRPr="0053482E" w:rsidRDefault="008867B5" w:rsidP="00725691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Проект</w:t>
      </w:r>
      <w:r w:rsidR="003848E3" w:rsidRPr="0053482E">
        <w:rPr>
          <w:rFonts w:ascii="PT Astra Serif" w:hAnsi="PT Astra Serif"/>
        </w:rPr>
        <w:t>ом</w:t>
      </w:r>
      <w:r w:rsidR="00DA5377" w:rsidRPr="0053482E">
        <w:rPr>
          <w:rFonts w:ascii="PT Astra Serif" w:hAnsi="PT Astra Serif"/>
        </w:rPr>
        <w:t xml:space="preserve"> акта </w:t>
      </w:r>
      <w:r w:rsidR="003848E3" w:rsidRPr="0053482E">
        <w:rPr>
          <w:rFonts w:ascii="PT Astra Serif" w:hAnsi="PT Astra Serif"/>
        </w:rPr>
        <w:t>устанавливаются дополнительные меры, способствующие расширению масштабов строительства на территории Ульяновской области объектов заправки транспортных сре</w:t>
      </w:r>
      <w:proofErr w:type="gramStart"/>
      <w:r w:rsidR="003848E3" w:rsidRPr="0053482E">
        <w:rPr>
          <w:rFonts w:ascii="PT Astra Serif" w:hAnsi="PT Astra Serif"/>
        </w:rPr>
        <w:t>дств пр</w:t>
      </w:r>
      <w:proofErr w:type="gramEnd"/>
      <w:r w:rsidR="003848E3" w:rsidRPr="0053482E">
        <w:rPr>
          <w:rFonts w:ascii="PT Astra Serif" w:hAnsi="PT Astra Serif"/>
        </w:rPr>
        <w:t>иродным газом</w:t>
      </w:r>
      <w:r w:rsidR="00FB1F1F" w:rsidRPr="0053482E">
        <w:rPr>
          <w:rFonts w:ascii="PT Astra Serif" w:hAnsi="PT Astra Serif"/>
        </w:rPr>
        <w:t>, в том числе</w:t>
      </w:r>
      <w:r w:rsidR="003848E3" w:rsidRPr="0053482E">
        <w:rPr>
          <w:rFonts w:ascii="PT Astra Serif" w:hAnsi="PT Astra Serif"/>
        </w:rPr>
        <w:t xml:space="preserve"> определяются</w:t>
      </w:r>
      <w:r w:rsidR="00FB1F1F" w:rsidRPr="0053482E">
        <w:rPr>
          <w:rFonts w:ascii="PT Astra Serif" w:hAnsi="PT Astra Serif"/>
        </w:rPr>
        <w:t>:</w:t>
      </w:r>
    </w:p>
    <w:p w:rsidR="00366485" w:rsidRPr="0053482E" w:rsidRDefault="00366485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1) </w:t>
      </w:r>
      <w:r w:rsidR="003848E3" w:rsidRPr="0053482E">
        <w:rPr>
          <w:rFonts w:ascii="PT Astra Serif" w:hAnsi="PT Astra Serif"/>
        </w:rPr>
        <w:t>предмет правового регулирования</w:t>
      </w:r>
      <w:r w:rsidRPr="0053482E">
        <w:rPr>
          <w:rFonts w:ascii="PT Astra Serif" w:hAnsi="PT Astra Serif"/>
        </w:rPr>
        <w:t>;</w:t>
      </w:r>
    </w:p>
    <w:p w:rsidR="00C77847" w:rsidRPr="0053482E" w:rsidRDefault="00C77847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2) </w:t>
      </w:r>
      <w:r w:rsidR="003848E3" w:rsidRPr="0053482E">
        <w:rPr>
          <w:rFonts w:ascii="PT Astra Serif" w:hAnsi="PT Astra Serif"/>
        </w:rPr>
        <w:t>основные понятия, используемые в проекте акта</w:t>
      </w:r>
      <w:r w:rsidRPr="0053482E">
        <w:rPr>
          <w:rFonts w:ascii="PT Astra Serif" w:hAnsi="PT Astra Serif"/>
        </w:rPr>
        <w:t>;</w:t>
      </w:r>
    </w:p>
    <w:p w:rsidR="00C77847" w:rsidRPr="0053482E" w:rsidRDefault="00C77847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3)</w:t>
      </w:r>
      <w:r w:rsidR="003848E3" w:rsidRPr="0053482E">
        <w:rPr>
          <w:rFonts w:ascii="PT Astra Serif" w:hAnsi="PT Astra Serif"/>
        </w:rPr>
        <w:t xml:space="preserve"> параметры проекта по строительству объекта заправки</w:t>
      </w:r>
      <w:r w:rsidR="00A413A2" w:rsidRPr="0053482E">
        <w:rPr>
          <w:rFonts w:ascii="PT Astra Serif" w:hAnsi="PT Astra Serif"/>
        </w:rPr>
        <w:t>,</w:t>
      </w:r>
      <w:r w:rsidR="003848E3" w:rsidRPr="0053482E">
        <w:rPr>
          <w:rFonts w:ascii="PT Astra Serif" w:hAnsi="PT Astra Serif"/>
        </w:rPr>
        <w:t xml:space="preserve"> при которых может быть присвоен статус приоритетного инвестиционного проекта по</w:t>
      </w:r>
      <w:r w:rsidR="00A413A2" w:rsidRPr="0053482E">
        <w:rPr>
          <w:rFonts w:ascii="PT Astra Serif" w:hAnsi="PT Astra Serif"/>
        </w:rPr>
        <w:t> </w:t>
      </w:r>
      <w:r w:rsidR="003848E3" w:rsidRPr="0053482E">
        <w:rPr>
          <w:rFonts w:ascii="PT Astra Serif" w:hAnsi="PT Astra Serif"/>
        </w:rPr>
        <w:t>строительству объекта заправки</w:t>
      </w:r>
      <w:r w:rsidRPr="0053482E">
        <w:rPr>
          <w:rFonts w:ascii="PT Astra Serif" w:hAnsi="PT Astra Serif"/>
        </w:rPr>
        <w:t>;</w:t>
      </w:r>
    </w:p>
    <w:p w:rsidR="00366485" w:rsidRPr="0053482E" w:rsidRDefault="00C77847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4)</w:t>
      </w:r>
      <w:r w:rsidR="00A413A2" w:rsidRPr="0053482E">
        <w:rPr>
          <w:rFonts w:ascii="PT Astra Serif" w:hAnsi="PT Astra Serif"/>
        </w:rPr>
        <w:t xml:space="preserve"> порядок принятия решения о присвоении статуса приоритетного инвестиционного проекта по строительству объекта заправки</w:t>
      </w:r>
      <w:r w:rsidR="00366485" w:rsidRPr="0053482E">
        <w:rPr>
          <w:rFonts w:ascii="PT Astra Serif" w:hAnsi="PT Astra Serif"/>
        </w:rPr>
        <w:t>;</w:t>
      </w:r>
    </w:p>
    <w:p w:rsidR="00366485" w:rsidRPr="0053482E" w:rsidRDefault="003B6D7A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5</w:t>
      </w:r>
      <w:r w:rsidR="00366485" w:rsidRPr="0053482E">
        <w:rPr>
          <w:rFonts w:ascii="PT Astra Serif" w:hAnsi="PT Astra Serif"/>
        </w:rPr>
        <w:t xml:space="preserve">) перечень </w:t>
      </w:r>
      <w:r w:rsidR="00A413A2" w:rsidRPr="0053482E">
        <w:rPr>
          <w:rFonts w:ascii="PT Astra Serif" w:hAnsi="PT Astra Serif"/>
        </w:rPr>
        <w:t>случаев, при которых проект по строительству объекта заправки, которому присвоен статус приоритетного инвестиционного проекта, может быть лишён данного статуса</w:t>
      </w:r>
      <w:r w:rsidR="00366485" w:rsidRPr="0053482E">
        <w:rPr>
          <w:rFonts w:ascii="PT Astra Serif" w:hAnsi="PT Astra Serif"/>
        </w:rPr>
        <w:t>;</w:t>
      </w:r>
    </w:p>
    <w:p w:rsidR="00A47DF9" w:rsidRPr="0053482E" w:rsidRDefault="003B6D7A" w:rsidP="00A47DF9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6</w:t>
      </w:r>
      <w:r w:rsidR="00366485" w:rsidRPr="0053482E">
        <w:rPr>
          <w:rFonts w:ascii="PT Astra Serif" w:hAnsi="PT Astra Serif"/>
        </w:rPr>
        <w:t xml:space="preserve">) </w:t>
      </w:r>
      <w:r w:rsidR="00A47DF9" w:rsidRPr="0053482E">
        <w:rPr>
          <w:rFonts w:ascii="PT Astra Serif" w:hAnsi="PT Astra Serif"/>
        </w:rPr>
        <w:t xml:space="preserve">государственная поддержка субъектов строительства, реализующих приоритетные инвестиционные проекты; </w:t>
      </w:r>
    </w:p>
    <w:p w:rsidR="003B6D7A" w:rsidRPr="0053482E" w:rsidRDefault="00A47DF9" w:rsidP="00A47DF9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7) финансовое обеспечение расходных обязательств Ульяновской области, связанных с исполнением проекта акта</w:t>
      </w:r>
      <w:r w:rsidR="003B6D7A" w:rsidRPr="0053482E">
        <w:rPr>
          <w:rFonts w:ascii="PT Astra Serif" w:hAnsi="PT Astra Serif"/>
        </w:rPr>
        <w:t>.</w:t>
      </w:r>
    </w:p>
    <w:p w:rsidR="00AF14CB" w:rsidRPr="0053482E" w:rsidRDefault="00AF14CB" w:rsidP="00AF14CB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</w:t>
      </w:r>
      <w:r w:rsidR="00A47DF9" w:rsidRPr="0053482E">
        <w:rPr>
          <w:rFonts w:ascii="PT Astra Serif" w:hAnsi="PT Astra Serif"/>
        </w:rPr>
        <w:t>увеличения объектов заправки транспортных сре</w:t>
      </w:r>
      <w:proofErr w:type="gramStart"/>
      <w:r w:rsidR="00A47DF9" w:rsidRPr="0053482E">
        <w:rPr>
          <w:rFonts w:ascii="PT Astra Serif" w:hAnsi="PT Astra Serif"/>
        </w:rPr>
        <w:t>дств пр</w:t>
      </w:r>
      <w:proofErr w:type="gramEnd"/>
      <w:r w:rsidR="00A47DF9" w:rsidRPr="0053482E">
        <w:rPr>
          <w:rFonts w:ascii="PT Astra Serif" w:hAnsi="PT Astra Serif"/>
        </w:rPr>
        <w:t>иродным газом на территории Ульяновской области</w:t>
      </w:r>
      <w:r w:rsidRPr="0053482E">
        <w:rPr>
          <w:rFonts w:ascii="PT Astra Serif" w:hAnsi="PT Astra Serif"/>
        </w:rPr>
        <w:t>.</w:t>
      </w:r>
    </w:p>
    <w:p w:rsidR="00DA5377" w:rsidRPr="0053482E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53482E">
        <w:rPr>
          <w:rFonts w:ascii="PT Astra Serif" w:hAnsi="PT Astra Serif"/>
          <w:b/>
        </w:rPr>
        <w:t> </w:t>
      </w:r>
      <w:r w:rsidRPr="0053482E">
        <w:rPr>
          <w:rFonts w:ascii="PT Astra Serif" w:hAnsi="PT Astra Serif"/>
          <w:b/>
        </w:rPr>
        <w:t>связи с наличием рассматриваемой проблемы.</w:t>
      </w:r>
    </w:p>
    <w:p w:rsidR="002F4756" w:rsidRPr="0053482E" w:rsidRDefault="00265E3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О</w:t>
      </w:r>
      <w:r w:rsidR="00E94FE6" w:rsidRPr="0053482E">
        <w:rPr>
          <w:rFonts w:ascii="PT Astra Serif" w:hAnsi="PT Astra Serif"/>
        </w:rPr>
        <w:t xml:space="preserve">сновным показателем </w:t>
      </w:r>
      <w:r w:rsidR="002F4756" w:rsidRPr="0053482E">
        <w:rPr>
          <w:rFonts w:ascii="PT Astra Serif" w:hAnsi="PT Astra Serif"/>
        </w:rPr>
        <w:t>подпрограммы «Развитие рынка газомоторного топлива</w:t>
      </w:r>
      <w:r w:rsidR="008B6E08" w:rsidRPr="0053482E">
        <w:rPr>
          <w:rFonts w:ascii="PT Astra Serif" w:hAnsi="PT Astra Serif"/>
        </w:rPr>
        <w:t>»</w:t>
      </w:r>
      <w:r w:rsidR="002F4756" w:rsidRPr="0053482E">
        <w:rPr>
          <w:rFonts w:ascii="PT Astra Serif" w:hAnsi="PT Astra Serif"/>
        </w:rPr>
        <w:t xml:space="preserve"> государственной программы «Развитие энергетики»</w:t>
      </w:r>
      <w:r w:rsidR="00E94FE6" w:rsidRPr="0053482E">
        <w:rPr>
          <w:rFonts w:ascii="PT Astra Serif" w:hAnsi="PT Astra Serif"/>
        </w:rPr>
        <w:t xml:space="preserve"> является</w:t>
      </w:r>
      <w:r w:rsidR="002F4756" w:rsidRPr="0053482E">
        <w:rPr>
          <w:rFonts w:ascii="PT Astra Serif" w:hAnsi="PT Astra Serif"/>
        </w:rPr>
        <w:t xml:space="preserve"> </w:t>
      </w:r>
      <w:r w:rsidR="002F4756" w:rsidRPr="0053482E">
        <w:rPr>
          <w:rFonts w:ascii="PT Astra Serif" w:hAnsi="PT Astra Serif"/>
        </w:rPr>
        <w:lastRenderedPageBreak/>
        <w:t xml:space="preserve">увеличение объектов </w:t>
      </w:r>
      <w:r w:rsidR="002F4756" w:rsidRPr="0053482E">
        <w:rPr>
          <w:rFonts w:ascii="PT Astra Serif" w:hAnsi="PT Astra Serif"/>
          <w:bCs/>
        </w:rPr>
        <w:t>заправки транспортных сре</w:t>
      </w:r>
      <w:proofErr w:type="gramStart"/>
      <w:r w:rsidR="002F4756" w:rsidRPr="0053482E">
        <w:rPr>
          <w:rFonts w:ascii="PT Astra Serif" w:hAnsi="PT Astra Serif"/>
          <w:bCs/>
        </w:rPr>
        <w:t>дств пр</w:t>
      </w:r>
      <w:proofErr w:type="gramEnd"/>
      <w:r w:rsidR="002F4756" w:rsidRPr="0053482E">
        <w:rPr>
          <w:rFonts w:ascii="PT Astra Serif" w:hAnsi="PT Astra Serif"/>
          <w:bCs/>
        </w:rPr>
        <w:t>иродным газом</w:t>
      </w:r>
      <w:r w:rsidR="008B6E08" w:rsidRPr="0053482E">
        <w:rPr>
          <w:rFonts w:ascii="PT Astra Serif" w:hAnsi="PT Astra Serif"/>
          <w:bCs/>
        </w:rPr>
        <w:t xml:space="preserve"> на</w:t>
      </w:r>
      <w:r w:rsidRPr="0053482E">
        <w:rPr>
          <w:rFonts w:ascii="PT Astra Serif" w:hAnsi="PT Astra Serif"/>
          <w:bCs/>
        </w:rPr>
        <w:t> </w:t>
      </w:r>
      <w:r w:rsidR="008B6E08" w:rsidRPr="0053482E">
        <w:rPr>
          <w:rFonts w:ascii="PT Astra Serif" w:hAnsi="PT Astra Serif"/>
          <w:bCs/>
        </w:rPr>
        <w:t>территории</w:t>
      </w:r>
      <w:r w:rsidR="002F4756" w:rsidRPr="0053482E">
        <w:rPr>
          <w:rFonts w:ascii="PT Astra Serif" w:hAnsi="PT Astra Serif"/>
        </w:rPr>
        <w:t xml:space="preserve"> </w:t>
      </w:r>
      <w:r w:rsidR="004A5AEF" w:rsidRPr="0053482E">
        <w:rPr>
          <w:rFonts w:ascii="PT Astra Serif" w:hAnsi="PT Astra Serif"/>
        </w:rPr>
        <w:t>субъекта  Российской Федерации</w:t>
      </w:r>
      <w:r w:rsidR="002F4756" w:rsidRPr="0053482E">
        <w:rPr>
          <w:rFonts w:ascii="PT Astra Serif" w:hAnsi="PT Astra Serif"/>
        </w:rPr>
        <w:t>.</w:t>
      </w:r>
    </w:p>
    <w:p w:rsidR="002F4756" w:rsidRPr="0053482E" w:rsidRDefault="00265E3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По информации разработчика акта в </w:t>
      </w:r>
      <w:r w:rsidR="002F4756" w:rsidRPr="0053482E">
        <w:rPr>
          <w:rFonts w:ascii="PT Astra Serif" w:hAnsi="PT Astra Serif"/>
        </w:rPr>
        <w:t>настоящее время в Ульяновской области построено и функционирует 7</w:t>
      </w:r>
      <w:r w:rsidR="008B6E08" w:rsidRPr="0053482E">
        <w:rPr>
          <w:rFonts w:ascii="PT Astra Serif" w:hAnsi="PT Astra Serif"/>
        </w:rPr>
        <w:t> автомобильн</w:t>
      </w:r>
      <w:r w:rsidR="00A57171" w:rsidRPr="0053482E">
        <w:rPr>
          <w:rFonts w:ascii="PT Astra Serif" w:hAnsi="PT Astra Serif"/>
        </w:rPr>
        <w:t>ых</w:t>
      </w:r>
      <w:r w:rsidR="008B6E08" w:rsidRPr="0053482E">
        <w:rPr>
          <w:rFonts w:ascii="PT Astra Serif" w:hAnsi="PT Astra Serif"/>
        </w:rPr>
        <w:t xml:space="preserve"> газонаполнительн</w:t>
      </w:r>
      <w:r w:rsidR="00A57171" w:rsidRPr="0053482E">
        <w:rPr>
          <w:rFonts w:ascii="PT Astra Serif" w:hAnsi="PT Astra Serif"/>
        </w:rPr>
        <w:t>ых</w:t>
      </w:r>
      <w:r w:rsidR="008B6E08" w:rsidRPr="0053482E">
        <w:rPr>
          <w:rFonts w:ascii="PT Astra Serif" w:hAnsi="PT Astra Serif"/>
        </w:rPr>
        <w:t xml:space="preserve"> компрессорн</w:t>
      </w:r>
      <w:r w:rsidR="00A57171" w:rsidRPr="0053482E">
        <w:rPr>
          <w:rFonts w:ascii="PT Astra Serif" w:hAnsi="PT Astra Serif"/>
        </w:rPr>
        <w:t>ых</w:t>
      </w:r>
      <w:r w:rsidR="008B6E08" w:rsidRPr="0053482E">
        <w:rPr>
          <w:rFonts w:ascii="PT Astra Serif" w:hAnsi="PT Astra Serif"/>
        </w:rPr>
        <w:t xml:space="preserve"> станци</w:t>
      </w:r>
      <w:r w:rsidR="00A57171" w:rsidRPr="0053482E">
        <w:rPr>
          <w:rFonts w:ascii="PT Astra Serif" w:hAnsi="PT Astra Serif"/>
        </w:rPr>
        <w:t>й</w:t>
      </w:r>
      <w:r w:rsidR="008B6E08" w:rsidRPr="0053482E">
        <w:rPr>
          <w:rFonts w:ascii="PT Astra Serif" w:hAnsi="PT Astra Serif"/>
        </w:rPr>
        <w:t xml:space="preserve"> </w:t>
      </w:r>
      <w:r w:rsidR="00A57171" w:rsidRPr="0053482E">
        <w:rPr>
          <w:rFonts w:ascii="PT Astra Serif" w:hAnsi="PT Astra Serif"/>
        </w:rPr>
        <w:t xml:space="preserve">(далее – </w:t>
      </w:r>
      <w:r w:rsidR="002F4756" w:rsidRPr="0053482E">
        <w:rPr>
          <w:rFonts w:ascii="PT Astra Serif" w:hAnsi="PT Astra Serif"/>
        </w:rPr>
        <w:t>АГНКС</w:t>
      </w:r>
      <w:r w:rsidR="00A57171" w:rsidRPr="0053482E">
        <w:rPr>
          <w:rFonts w:ascii="PT Astra Serif" w:hAnsi="PT Astra Serif"/>
        </w:rPr>
        <w:t>)</w:t>
      </w:r>
      <w:r w:rsidR="002F4756" w:rsidRPr="0053482E">
        <w:rPr>
          <w:rFonts w:ascii="PT Astra Serif" w:hAnsi="PT Astra Serif"/>
        </w:rPr>
        <w:t xml:space="preserve">, из </w:t>
      </w:r>
      <w:r w:rsidR="00A57171" w:rsidRPr="0053482E">
        <w:rPr>
          <w:rFonts w:ascii="PT Astra Serif" w:hAnsi="PT Astra Serif"/>
        </w:rPr>
        <w:t>которых</w:t>
      </w:r>
      <w:r w:rsidR="002F4756" w:rsidRPr="0053482E">
        <w:rPr>
          <w:rFonts w:ascii="PT Astra Serif" w:hAnsi="PT Astra Serif"/>
        </w:rPr>
        <w:t xml:space="preserve">: 5 </w:t>
      </w:r>
      <w:r w:rsidR="00A57171" w:rsidRPr="0053482E">
        <w:rPr>
          <w:rFonts w:ascii="PT Astra Serif" w:hAnsi="PT Astra Serif"/>
        </w:rPr>
        <w:t>станций расположены</w:t>
      </w:r>
      <w:r w:rsidR="002F4756" w:rsidRPr="0053482E">
        <w:rPr>
          <w:rFonts w:ascii="PT Astra Serif" w:hAnsi="PT Astra Serif"/>
        </w:rPr>
        <w:t xml:space="preserve"> в г</w:t>
      </w:r>
      <w:r w:rsidR="00A57171" w:rsidRPr="0053482E">
        <w:rPr>
          <w:rFonts w:ascii="PT Astra Serif" w:hAnsi="PT Astra Serif"/>
        </w:rPr>
        <w:t>ороде</w:t>
      </w:r>
      <w:r w:rsidR="002F4756" w:rsidRPr="0053482E">
        <w:rPr>
          <w:rFonts w:ascii="PT Astra Serif" w:hAnsi="PT Astra Serif"/>
        </w:rPr>
        <w:t xml:space="preserve"> Ульяновске, 1 </w:t>
      </w:r>
      <w:r w:rsidR="00C80056" w:rsidRPr="0053482E">
        <w:rPr>
          <w:rFonts w:ascii="PT Astra Serif" w:hAnsi="PT Astra Serif"/>
        </w:rPr>
        <w:t xml:space="preserve">станция – в </w:t>
      </w:r>
      <w:r w:rsidR="00A57171" w:rsidRPr="0053482E">
        <w:rPr>
          <w:rFonts w:ascii="PT Astra Serif" w:hAnsi="PT Astra Serif"/>
        </w:rPr>
        <w:t>городе</w:t>
      </w:r>
      <w:r w:rsidR="002F4756" w:rsidRPr="0053482E">
        <w:rPr>
          <w:rFonts w:ascii="PT Astra Serif" w:hAnsi="PT Astra Serif"/>
        </w:rPr>
        <w:t xml:space="preserve"> Димитровград</w:t>
      </w:r>
      <w:r w:rsidR="00A57171" w:rsidRPr="0053482E">
        <w:rPr>
          <w:rFonts w:ascii="PT Astra Serif" w:hAnsi="PT Astra Serif"/>
        </w:rPr>
        <w:t xml:space="preserve"> и </w:t>
      </w:r>
      <w:r w:rsidR="002F4756" w:rsidRPr="0053482E">
        <w:rPr>
          <w:rFonts w:ascii="PT Astra Serif" w:hAnsi="PT Astra Serif"/>
        </w:rPr>
        <w:t xml:space="preserve">1 </w:t>
      </w:r>
      <w:r w:rsidR="00A57171" w:rsidRPr="0053482E">
        <w:rPr>
          <w:rFonts w:ascii="PT Astra Serif" w:hAnsi="PT Astra Serif"/>
        </w:rPr>
        <w:t>станция</w:t>
      </w:r>
      <w:r w:rsidR="002F4756" w:rsidRPr="0053482E">
        <w:rPr>
          <w:rFonts w:ascii="PT Astra Serif" w:hAnsi="PT Astra Serif"/>
        </w:rPr>
        <w:t xml:space="preserve"> в</w:t>
      </w:r>
      <w:r w:rsidR="00C63F67" w:rsidRPr="0053482E">
        <w:rPr>
          <w:rFonts w:ascii="PT Astra Serif" w:hAnsi="PT Astra Serif"/>
        </w:rPr>
        <w:t> </w:t>
      </w:r>
      <w:r w:rsidR="00A57171" w:rsidRPr="0053482E">
        <w:rPr>
          <w:rFonts w:ascii="PT Astra Serif" w:hAnsi="PT Astra Serif"/>
        </w:rPr>
        <w:t>районном поселке</w:t>
      </w:r>
      <w:r w:rsidR="002F4756" w:rsidRPr="0053482E">
        <w:rPr>
          <w:rFonts w:ascii="PT Astra Serif" w:hAnsi="PT Astra Serif"/>
        </w:rPr>
        <w:t xml:space="preserve"> Новоспасское.</w:t>
      </w:r>
    </w:p>
    <w:p w:rsidR="002F4756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В 2021 г</w:t>
      </w:r>
      <w:r w:rsidR="00C80056" w:rsidRPr="0053482E">
        <w:rPr>
          <w:rFonts w:ascii="PT Astra Serif" w:hAnsi="PT Astra Serif"/>
        </w:rPr>
        <w:t>оду</w:t>
      </w:r>
      <w:r w:rsidRPr="0053482E">
        <w:rPr>
          <w:rFonts w:ascii="PT Astra Serif" w:hAnsi="PT Astra Serif"/>
        </w:rPr>
        <w:t xml:space="preserve"> планируется построить и ввести в эксплуатацию ещ</w:t>
      </w:r>
      <w:r w:rsidR="00C63F67" w:rsidRPr="0053482E">
        <w:rPr>
          <w:rFonts w:ascii="PT Astra Serif" w:hAnsi="PT Astra Serif"/>
        </w:rPr>
        <w:t>ё</w:t>
      </w:r>
      <w:r w:rsidRPr="0053482E">
        <w:rPr>
          <w:rFonts w:ascii="PT Astra Serif" w:hAnsi="PT Astra Serif"/>
        </w:rPr>
        <w:t xml:space="preserve"> 3</w:t>
      </w:r>
      <w:r w:rsidR="00C80056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АГНКС, из них: 2 </w:t>
      </w:r>
      <w:r w:rsidR="00C80056" w:rsidRPr="0053482E">
        <w:rPr>
          <w:rFonts w:ascii="PT Astra Serif" w:hAnsi="PT Astra Serif"/>
        </w:rPr>
        <w:t xml:space="preserve">– </w:t>
      </w:r>
      <w:r w:rsidRPr="0053482E">
        <w:rPr>
          <w:rFonts w:ascii="PT Astra Serif" w:hAnsi="PT Astra Serif"/>
        </w:rPr>
        <w:t>в</w:t>
      </w:r>
      <w:r w:rsidR="00C80056" w:rsidRPr="0053482E">
        <w:rPr>
          <w:rFonts w:ascii="PT Astra Serif" w:hAnsi="PT Astra Serif"/>
        </w:rPr>
        <w:t xml:space="preserve"> городе</w:t>
      </w:r>
      <w:r w:rsidRPr="0053482E">
        <w:rPr>
          <w:rFonts w:ascii="PT Astra Serif" w:hAnsi="PT Astra Serif"/>
        </w:rPr>
        <w:t xml:space="preserve"> Ульяновске, 1 </w:t>
      </w:r>
      <w:r w:rsidR="00C63F67" w:rsidRPr="0053482E">
        <w:rPr>
          <w:rFonts w:ascii="PT Astra Serif" w:hAnsi="PT Astra Serif"/>
        </w:rPr>
        <w:t>–</w:t>
      </w:r>
      <w:r w:rsidR="00C80056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в</w:t>
      </w:r>
      <w:r w:rsidR="00C63F67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Ульяновском районе.</w:t>
      </w:r>
      <w:r w:rsidR="00C80056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На</w:t>
      </w:r>
      <w:r w:rsidR="00C80056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период с 2022 по 2023</w:t>
      </w:r>
      <w:r w:rsidR="00C63F67" w:rsidRPr="0053482E">
        <w:rPr>
          <w:rFonts w:ascii="PT Astra Serif" w:hAnsi="PT Astra Serif"/>
        </w:rPr>
        <w:t xml:space="preserve"> годы</w:t>
      </w:r>
      <w:r w:rsidRPr="0053482E">
        <w:rPr>
          <w:rFonts w:ascii="PT Astra Serif" w:hAnsi="PT Astra Serif"/>
        </w:rPr>
        <w:t xml:space="preserve"> запланировано построить не менее 5 АГНКС</w:t>
      </w:r>
      <w:r w:rsidR="00C63F67" w:rsidRPr="0053482E">
        <w:rPr>
          <w:rFonts w:ascii="PT Astra Serif" w:hAnsi="PT Astra Serif"/>
        </w:rPr>
        <w:t>, д</w:t>
      </w:r>
      <w:r w:rsidRPr="0053482E">
        <w:rPr>
          <w:rFonts w:ascii="PT Astra Serif" w:hAnsi="PT Astra Serif"/>
        </w:rPr>
        <w:t>о</w:t>
      </w:r>
      <w:r w:rsidR="00C80056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конца 2024 г</w:t>
      </w:r>
      <w:r w:rsidR="00C63F67" w:rsidRPr="0053482E">
        <w:rPr>
          <w:rFonts w:ascii="PT Astra Serif" w:hAnsi="PT Astra Serif"/>
        </w:rPr>
        <w:t>ода</w:t>
      </w:r>
      <w:r w:rsidRPr="0053482E">
        <w:rPr>
          <w:rFonts w:ascii="PT Astra Serif" w:hAnsi="PT Astra Serif"/>
        </w:rPr>
        <w:t xml:space="preserve"> планируется построить 17 АГНКС.</w:t>
      </w:r>
    </w:p>
    <w:p w:rsidR="002F4756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Для этого, уже определены 26 участков, находящихся вблизи трубопроводов природного газа и дорог общего пользования, которые возможно использовать для развития сети АГНКС, из них 5 земельных участков имеют высокую степень готовности под застройку. Участки находятся вблизи автомобильных дорог с высокими транспортными потоками от 2</w:t>
      </w:r>
      <w:r w:rsidR="00C80056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500 до 16</w:t>
      </w:r>
      <w:r w:rsidR="00C80056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 xml:space="preserve">000 </w:t>
      </w:r>
      <w:r w:rsidR="00C63F67" w:rsidRPr="0053482E">
        <w:rPr>
          <w:rFonts w:ascii="PT Astra Serif" w:hAnsi="PT Astra Serif"/>
        </w:rPr>
        <w:t>автомобилей</w:t>
      </w:r>
      <w:r w:rsidRPr="0053482E">
        <w:rPr>
          <w:rFonts w:ascii="PT Astra Serif" w:hAnsi="PT Astra Serif"/>
        </w:rPr>
        <w:t xml:space="preserve"> в сутки.</w:t>
      </w:r>
    </w:p>
    <w:p w:rsidR="002F4756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В последние годы наблюдается интенсивный рост автотранспортных средств, работающих на компримированном природном газе (далее </w:t>
      </w:r>
      <w:r w:rsidR="00C80056" w:rsidRPr="0053482E">
        <w:rPr>
          <w:rFonts w:ascii="PT Astra Serif" w:hAnsi="PT Astra Serif"/>
        </w:rPr>
        <w:t>–</w:t>
      </w:r>
      <w:r w:rsidRPr="0053482E">
        <w:rPr>
          <w:rFonts w:ascii="PT Astra Serif" w:hAnsi="PT Astra Serif"/>
        </w:rPr>
        <w:t xml:space="preserve"> КПГ). Так, стремительными темпами проходит обновление автобусного парка Ульяновской области, парка коммунальной техники и прочих автотранспортных средств. Кроме того, ежегодно переоборудуется на</w:t>
      </w:r>
      <w:r w:rsidR="00C80056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использование КПГ до 200 единиц личного и коммерческого грузового транспорта:</w:t>
      </w:r>
    </w:p>
    <w:p w:rsidR="002F4756" w:rsidRPr="0053482E" w:rsidRDefault="008B347A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- </w:t>
      </w:r>
      <w:r w:rsidR="002F4756" w:rsidRPr="0053482E">
        <w:rPr>
          <w:rFonts w:ascii="PT Astra Serif" w:hAnsi="PT Astra Serif"/>
        </w:rPr>
        <w:t>в период с 2019 по 2020 г</w:t>
      </w:r>
      <w:r w:rsidR="00C80056" w:rsidRPr="0053482E">
        <w:rPr>
          <w:rFonts w:ascii="PT Astra Serif" w:hAnsi="PT Astra Serif"/>
        </w:rPr>
        <w:t>оды</w:t>
      </w:r>
      <w:r w:rsidR="002F4756" w:rsidRPr="0053482E">
        <w:rPr>
          <w:rFonts w:ascii="PT Astra Serif" w:hAnsi="PT Astra Serif"/>
        </w:rPr>
        <w:t xml:space="preserve"> переоборудовано 170 транспортных средств;</w:t>
      </w:r>
    </w:p>
    <w:p w:rsidR="002F4756" w:rsidRPr="0053482E" w:rsidRDefault="008B347A" w:rsidP="00C63F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- </w:t>
      </w:r>
      <w:r w:rsidR="002F4756" w:rsidRPr="0053482E">
        <w:rPr>
          <w:rFonts w:ascii="PT Astra Serif" w:hAnsi="PT Astra Serif"/>
        </w:rPr>
        <w:t xml:space="preserve"> </w:t>
      </w:r>
      <w:r w:rsidR="00C63F67" w:rsidRPr="0053482E">
        <w:rPr>
          <w:rFonts w:ascii="PT Astra Serif" w:hAnsi="PT Astra Serif"/>
        </w:rPr>
        <w:t xml:space="preserve">в </w:t>
      </w:r>
      <w:r w:rsidR="002F4756" w:rsidRPr="0053482E">
        <w:rPr>
          <w:rFonts w:ascii="PT Astra Serif" w:hAnsi="PT Astra Serif"/>
        </w:rPr>
        <w:t>2021</w:t>
      </w:r>
      <w:r w:rsidR="00C63F67" w:rsidRPr="0053482E">
        <w:rPr>
          <w:rFonts w:ascii="PT Astra Serif" w:hAnsi="PT Astra Serif"/>
        </w:rPr>
        <w:t xml:space="preserve"> году</w:t>
      </w:r>
      <w:r w:rsidR="002F4756" w:rsidRPr="0053482E">
        <w:rPr>
          <w:rFonts w:ascii="PT Astra Serif" w:hAnsi="PT Astra Serif"/>
        </w:rPr>
        <w:t xml:space="preserve"> заявлено к переоборудованию 656</w:t>
      </w:r>
      <w:r w:rsidR="00C63F67" w:rsidRPr="0053482E">
        <w:rPr>
          <w:rFonts w:ascii="PT Astra Serif" w:hAnsi="PT Astra Serif"/>
        </w:rPr>
        <w:t xml:space="preserve"> </w:t>
      </w:r>
      <w:r w:rsidR="00C63F67" w:rsidRPr="0053482E">
        <w:rPr>
          <w:rFonts w:ascii="PT Astra Serif" w:hAnsi="PT Astra Serif"/>
        </w:rPr>
        <w:t>транспортных средств;</w:t>
      </w:r>
    </w:p>
    <w:p w:rsidR="002F4756" w:rsidRPr="0053482E" w:rsidRDefault="008B347A" w:rsidP="00C63F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- </w:t>
      </w:r>
      <w:r w:rsidR="002F4756" w:rsidRPr="0053482E">
        <w:rPr>
          <w:rFonts w:ascii="PT Astra Serif" w:hAnsi="PT Astra Serif"/>
        </w:rPr>
        <w:t xml:space="preserve">до конца 2024 года планируется переоборудовать 3 000 </w:t>
      </w:r>
      <w:r w:rsidR="00C63F67" w:rsidRPr="0053482E">
        <w:rPr>
          <w:rFonts w:ascii="PT Astra Serif" w:hAnsi="PT Astra Serif"/>
        </w:rPr>
        <w:t>транспортных средств</w:t>
      </w:r>
      <w:r w:rsidR="002F4756" w:rsidRPr="0053482E">
        <w:rPr>
          <w:rFonts w:ascii="PT Astra Serif" w:hAnsi="PT Astra Serif"/>
        </w:rPr>
        <w:t>.</w:t>
      </w:r>
    </w:p>
    <w:p w:rsidR="002F4756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Всего, по состоянию на 01.01.2021, в регионе зарегистрировано </w:t>
      </w:r>
      <w:r w:rsidR="008B347A" w:rsidRPr="0053482E">
        <w:rPr>
          <w:rFonts w:ascii="PT Astra Serif" w:hAnsi="PT Astra Serif"/>
        </w:rPr>
        <w:t xml:space="preserve">                          </w:t>
      </w:r>
      <w:r w:rsidRPr="0053482E">
        <w:rPr>
          <w:rFonts w:ascii="PT Astra Serif" w:hAnsi="PT Astra Serif"/>
        </w:rPr>
        <w:t>489,8 тыс. транспортных средств, из которых 1</w:t>
      </w:r>
      <w:r w:rsidR="00C63F67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025 единиц работающих на</w:t>
      </w:r>
      <w:r w:rsidR="008B347A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КПГ.</w:t>
      </w:r>
      <w:r w:rsidR="00C63F67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Из них общий парк пассажирского транспорта – 1</w:t>
      </w:r>
      <w:r w:rsidR="008B347A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556 автобусов, в том числе 438 работающих на КПГ.</w:t>
      </w:r>
    </w:p>
    <w:p w:rsidR="0053482E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В настоящее время на территории </w:t>
      </w:r>
      <w:r w:rsidR="00C63F67" w:rsidRPr="0053482E">
        <w:rPr>
          <w:rFonts w:ascii="PT Astra Serif" w:hAnsi="PT Astra Serif"/>
        </w:rPr>
        <w:t xml:space="preserve">Ульяновской </w:t>
      </w:r>
      <w:r w:rsidRPr="0053482E">
        <w:rPr>
          <w:rFonts w:ascii="PT Astra Serif" w:hAnsi="PT Astra Serif"/>
        </w:rPr>
        <w:t>области работают 10</w:t>
      </w:r>
      <w:r w:rsidR="00C63F67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автотранспортных предприятий с государственным участием, которые имеют в своём парке подвижной состав, работающий на КПГ в следующих муниципальных образованиях: </w:t>
      </w:r>
      <w:proofErr w:type="spellStart"/>
      <w:proofErr w:type="gramStart"/>
      <w:r w:rsidRPr="0053482E">
        <w:rPr>
          <w:rFonts w:ascii="PT Astra Serif" w:hAnsi="PT Astra Serif"/>
        </w:rPr>
        <w:t>Инзенский</w:t>
      </w:r>
      <w:proofErr w:type="spellEnd"/>
      <w:r w:rsidRPr="0053482E">
        <w:rPr>
          <w:rFonts w:ascii="PT Astra Serif" w:hAnsi="PT Astra Serif"/>
        </w:rPr>
        <w:t xml:space="preserve"> район, </w:t>
      </w:r>
      <w:proofErr w:type="spellStart"/>
      <w:r w:rsidRPr="0053482E">
        <w:rPr>
          <w:rFonts w:ascii="PT Astra Serif" w:hAnsi="PT Astra Serif"/>
        </w:rPr>
        <w:t>Базарносызганский</w:t>
      </w:r>
      <w:proofErr w:type="spellEnd"/>
      <w:r w:rsidRPr="0053482E">
        <w:rPr>
          <w:rFonts w:ascii="PT Astra Serif" w:hAnsi="PT Astra Serif"/>
        </w:rPr>
        <w:t xml:space="preserve"> район, </w:t>
      </w:r>
      <w:proofErr w:type="spellStart"/>
      <w:r w:rsidRPr="0053482E">
        <w:rPr>
          <w:rFonts w:ascii="PT Astra Serif" w:hAnsi="PT Astra Serif"/>
        </w:rPr>
        <w:t>Карсунский</w:t>
      </w:r>
      <w:proofErr w:type="spellEnd"/>
      <w:r w:rsidRPr="0053482E">
        <w:rPr>
          <w:rFonts w:ascii="PT Astra Serif" w:hAnsi="PT Astra Serif"/>
        </w:rPr>
        <w:t xml:space="preserve"> район, </w:t>
      </w:r>
      <w:proofErr w:type="spellStart"/>
      <w:r w:rsidRPr="0053482E">
        <w:rPr>
          <w:rFonts w:ascii="PT Astra Serif" w:hAnsi="PT Astra Serif"/>
        </w:rPr>
        <w:t>Тереньгульский</w:t>
      </w:r>
      <w:proofErr w:type="spellEnd"/>
      <w:r w:rsidRPr="0053482E">
        <w:rPr>
          <w:rFonts w:ascii="PT Astra Serif" w:hAnsi="PT Astra Serif"/>
        </w:rPr>
        <w:t xml:space="preserve"> район, Радищевский район, </w:t>
      </w:r>
      <w:proofErr w:type="spellStart"/>
      <w:r w:rsidRPr="0053482E">
        <w:rPr>
          <w:rFonts w:ascii="PT Astra Serif" w:hAnsi="PT Astra Serif"/>
        </w:rPr>
        <w:t>Майнский</w:t>
      </w:r>
      <w:proofErr w:type="spellEnd"/>
      <w:r w:rsidRPr="0053482E">
        <w:rPr>
          <w:rFonts w:ascii="PT Astra Serif" w:hAnsi="PT Astra Serif"/>
        </w:rPr>
        <w:t xml:space="preserve"> район, </w:t>
      </w:r>
      <w:proofErr w:type="spellStart"/>
      <w:r w:rsidRPr="0053482E">
        <w:rPr>
          <w:rFonts w:ascii="PT Astra Serif" w:hAnsi="PT Astra Serif"/>
        </w:rPr>
        <w:t>Сегилеевский</w:t>
      </w:r>
      <w:proofErr w:type="spellEnd"/>
      <w:r w:rsidRPr="0053482E">
        <w:rPr>
          <w:rFonts w:ascii="PT Astra Serif" w:hAnsi="PT Astra Serif"/>
        </w:rPr>
        <w:t xml:space="preserve"> район, Николаевский район, Новоспасский район, </w:t>
      </w:r>
      <w:proofErr w:type="spellStart"/>
      <w:r w:rsidRPr="0053482E">
        <w:rPr>
          <w:rFonts w:ascii="PT Astra Serif" w:hAnsi="PT Astra Serif"/>
        </w:rPr>
        <w:t>Цильнинский</w:t>
      </w:r>
      <w:proofErr w:type="spellEnd"/>
      <w:r w:rsidRPr="0053482E">
        <w:rPr>
          <w:rFonts w:ascii="PT Astra Serif" w:hAnsi="PT Astra Serif"/>
        </w:rPr>
        <w:t xml:space="preserve"> район.</w:t>
      </w:r>
      <w:proofErr w:type="gramEnd"/>
      <w:r w:rsidRPr="0053482E">
        <w:rPr>
          <w:rFonts w:ascii="PT Astra Serif" w:hAnsi="PT Astra Serif"/>
        </w:rPr>
        <w:t xml:space="preserve"> Примерная доля газовых автобусов в структуре автобусного парка предприятий составляет от 5 до 30</w:t>
      </w:r>
      <w:r w:rsidR="008B347A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%, однако увеличение их</w:t>
      </w:r>
      <w:r w:rsidR="00C63F67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доли на сегодняшний день не</w:t>
      </w:r>
      <w:r w:rsidR="008B347A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представляется возможной из-за отсутствия АГНКС для заправки КПГ в</w:t>
      </w:r>
      <w:r w:rsidR="008B347A" w:rsidRPr="0053482E">
        <w:rPr>
          <w:rFonts w:ascii="PT Astra Serif" w:hAnsi="PT Astra Serif"/>
        </w:rPr>
        <w:t xml:space="preserve"> данных муниципальных </w:t>
      </w:r>
      <w:r w:rsidR="00265E36" w:rsidRPr="0053482E">
        <w:rPr>
          <w:rFonts w:ascii="PT Astra Serif" w:hAnsi="PT Astra Serif"/>
        </w:rPr>
        <w:t>образованиях</w:t>
      </w:r>
      <w:r w:rsidR="0053482E" w:rsidRPr="0053482E">
        <w:rPr>
          <w:rFonts w:ascii="PT Astra Serif" w:hAnsi="PT Astra Serif"/>
        </w:rPr>
        <w:t>.</w:t>
      </w:r>
    </w:p>
    <w:p w:rsidR="002F4756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Кроме того, развитию потенциала рынка газомоторного топлива в</w:t>
      </w:r>
      <w:r w:rsidR="008B347A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регионе будет способствовать строительство новых автомобильных развязок, </w:t>
      </w:r>
      <w:r w:rsidRPr="0053482E">
        <w:rPr>
          <w:rFonts w:ascii="PT Astra Serif" w:hAnsi="PT Astra Serif"/>
        </w:rPr>
        <w:lastRenderedPageBreak/>
        <w:t>обходов городов в рамках национального проекта «Безопасные качественные дороги» – это повлияет на перестройку транзитных потоков и сформирует новую инфраструктуру придорожных сервисов, в том числе для размещения АГНКС.</w:t>
      </w:r>
    </w:p>
    <w:p w:rsidR="002F4756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Переоборудование транспортных средств на использование КПГ и</w:t>
      </w:r>
      <w:r w:rsidR="008B347A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обновление парка автобусов, а также строительство объектов придорожного сервиса на новых автомобильных дорогах Ульяновской области приведут к</w:t>
      </w:r>
      <w:r w:rsidR="008B347A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росту спроса на компримированный природный газ.</w:t>
      </w:r>
    </w:p>
    <w:p w:rsidR="002F4756" w:rsidRPr="0053482E" w:rsidRDefault="00265E3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Также</w:t>
      </w:r>
      <w:r w:rsidR="002F4756" w:rsidRPr="0053482E">
        <w:rPr>
          <w:rFonts w:ascii="PT Astra Serif" w:hAnsi="PT Astra Serif"/>
        </w:rPr>
        <w:t>, снижение выброса вредных веществ в атмосферу и</w:t>
      </w:r>
      <w:r w:rsidR="008B347A" w:rsidRPr="0053482E">
        <w:rPr>
          <w:rFonts w:ascii="PT Astra Serif" w:hAnsi="PT Astra Serif"/>
        </w:rPr>
        <w:t> </w:t>
      </w:r>
      <w:r w:rsidR="002F4756" w:rsidRPr="0053482E">
        <w:rPr>
          <w:rFonts w:ascii="PT Astra Serif" w:hAnsi="PT Astra Serif"/>
        </w:rPr>
        <w:t>сокращение негативного воздействия транспорта на окружающую среду в</w:t>
      </w:r>
      <w:r w:rsidR="008B347A" w:rsidRPr="0053482E">
        <w:rPr>
          <w:rFonts w:ascii="PT Astra Serif" w:hAnsi="PT Astra Serif"/>
        </w:rPr>
        <w:t> </w:t>
      </w:r>
      <w:r w:rsidR="002F4756" w:rsidRPr="0053482E">
        <w:rPr>
          <w:rFonts w:ascii="PT Astra Serif" w:hAnsi="PT Astra Serif"/>
        </w:rPr>
        <w:t>населённых пунктах окажет благотворное влияние на здоровье населения.</w:t>
      </w:r>
      <w:r w:rsidR="00AE5413" w:rsidRPr="0053482E">
        <w:rPr>
          <w:rFonts w:ascii="PT Astra Serif" w:hAnsi="PT Astra Serif"/>
        </w:rPr>
        <w:t xml:space="preserve"> </w:t>
      </w:r>
      <w:r w:rsidR="002F4756" w:rsidRPr="0053482E">
        <w:rPr>
          <w:rFonts w:ascii="PT Astra Serif" w:hAnsi="PT Astra Serif"/>
        </w:rPr>
        <w:t>Так при сжигании тысячи литров нефтяного моторного топлива в воздух вместе с</w:t>
      </w:r>
      <w:r w:rsidR="00AE5413" w:rsidRPr="0053482E">
        <w:rPr>
          <w:rFonts w:ascii="PT Astra Serif" w:hAnsi="PT Astra Serif"/>
        </w:rPr>
        <w:t> </w:t>
      </w:r>
      <w:r w:rsidR="002F4756" w:rsidRPr="0053482E">
        <w:rPr>
          <w:rFonts w:ascii="PT Astra Serif" w:hAnsi="PT Astra Serif"/>
        </w:rPr>
        <w:t>отработавшими газами выбрасывается 180-300 килограммов оксида углерода, 20-40 килограммов углеводородов, 25-45 килограммов окислов азота.</w:t>
      </w:r>
    </w:p>
    <w:p w:rsidR="002F4756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Используя природный газ вместо бензина и дизтоплива, снижается выброс токсичных веществ в 2-3 раза по оксиду углерода, по окислам азота </w:t>
      </w:r>
      <w:r w:rsidR="008B347A" w:rsidRPr="0053482E">
        <w:rPr>
          <w:rFonts w:ascii="PT Astra Serif" w:hAnsi="PT Astra Serif"/>
        </w:rPr>
        <w:t>–</w:t>
      </w:r>
      <w:r w:rsidRPr="0053482E">
        <w:rPr>
          <w:rFonts w:ascii="PT Astra Serif" w:hAnsi="PT Astra Serif"/>
        </w:rPr>
        <w:t xml:space="preserve"> в</w:t>
      </w:r>
      <w:r w:rsidR="008B347A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2 раза, по углеводородам </w:t>
      </w:r>
      <w:r w:rsidR="008B347A" w:rsidRPr="0053482E">
        <w:rPr>
          <w:rFonts w:ascii="PT Astra Serif" w:hAnsi="PT Astra Serif"/>
        </w:rPr>
        <w:t>–</w:t>
      </w:r>
      <w:r w:rsidRPr="0053482E">
        <w:rPr>
          <w:rFonts w:ascii="PT Astra Serif" w:hAnsi="PT Astra Serif"/>
        </w:rPr>
        <w:t xml:space="preserve"> в</w:t>
      </w:r>
      <w:r w:rsidR="008B347A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 xml:space="preserve">3 раза, по задымленности </w:t>
      </w:r>
      <w:r w:rsidR="008B347A" w:rsidRPr="0053482E">
        <w:rPr>
          <w:rFonts w:ascii="PT Astra Serif" w:hAnsi="PT Astra Serif"/>
        </w:rPr>
        <w:t>–</w:t>
      </w:r>
      <w:r w:rsidRPr="0053482E">
        <w:rPr>
          <w:rFonts w:ascii="PT Astra Serif" w:hAnsi="PT Astra Serif"/>
        </w:rPr>
        <w:t xml:space="preserve"> в</w:t>
      </w:r>
      <w:r w:rsidR="008B347A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9</w:t>
      </w:r>
      <w:r w:rsidR="008B347A" w:rsidRPr="0053482E">
        <w:rPr>
          <w:rFonts w:ascii="PT Astra Serif" w:hAnsi="PT Astra Serif"/>
        </w:rPr>
        <w:t xml:space="preserve"> раз</w:t>
      </w:r>
      <w:r w:rsidR="00AE5413" w:rsidRPr="0053482E">
        <w:rPr>
          <w:rFonts w:ascii="PT Astra Serif" w:hAnsi="PT Astra Serif"/>
        </w:rPr>
        <w:t>, а</w:t>
      </w:r>
      <w:r w:rsidR="008B347A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образования сажи вообще не происходит.</w:t>
      </w:r>
    </w:p>
    <w:p w:rsidR="002F4756" w:rsidRPr="0053482E" w:rsidRDefault="002F4756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В условиях усиления внимания общества к экологическим факторам снижение вредного воздействия транспорта на окружающую среду имеет большое социальное значение и может оказать значительное влияние на</w:t>
      </w:r>
      <w:r w:rsidR="00936BA8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развитие Ульяновской области.</w:t>
      </w:r>
    </w:p>
    <w:p w:rsidR="00265E36" w:rsidRPr="0053482E" w:rsidRDefault="00285DC9" w:rsidP="002F4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По мнению разработчика акта</w:t>
      </w:r>
      <w:r w:rsidR="00AE5413" w:rsidRPr="0053482E">
        <w:rPr>
          <w:rFonts w:ascii="PT Astra Serif" w:hAnsi="PT Astra Serif"/>
        </w:rPr>
        <w:t>,</w:t>
      </w:r>
      <w:r w:rsidRPr="0053482E">
        <w:rPr>
          <w:rFonts w:ascii="PT Astra Serif" w:hAnsi="PT Astra Serif"/>
        </w:rPr>
        <w:t xml:space="preserve"> присвоени</w:t>
      </w:r>
      <w:r w:rsidR="00406414" w:rsidRPr="0053482E">
        <w:rPr>
          <w:rFonts w:ascii="PT Astra Serif" w:hAnsi="PT Astra Serif"/>
        </w:rPr>
        <w:t>е</w:t>
      </w:r>
      <w:r w:rsidRPr="0053482E">
        <w:rPr>
          <w:rFonts w:ascii="PT Astra Serif" w:hAnsi="PT Astra Serif"/>
        </w:rPr>
        <w:t xml:space="preserve"> статуса приоритетного инвестиционного проекта по</w:t>
      </w:r>
      <w:r w:rsidR="00406414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 xml:space="preserve">строительству объекта заправки </w:t>
      </w:r>
      <w:r w:rsidR="00406414" w:rsidRPr="0053482E">
        <w:rPr>
          <w:rFonts w:ascii="PT Astra Serif" w:hAnsi="PT Astra Serif"/>
        </w:rPr>
        <w:t>позволит с</w:t>
      </w:r>
      <w:r w:rsidRPr="0053482E">
        <w:rPr>
          <w:rFonts w:ascii="PT Astra Serif" w:hAnsi="PT Astra Serif"/>
        </w:rPr>
        <w:t>убъектам строительства, реализующим приоритетные инвести</w:t>
      </w:r>
      <w:r w:rsidR="00406414" w:rsidRPr="0053482E">
        <w:rPr>
          <w:rFonts w:ascii="PT Astra Serif" w:hAnsi="PT Astra Serif"/>
        </w:rPr>
        <w:t>ционные проекты, воспользоваться</w:t>
      </w:r>
      <w:r w:rsidRPr="0053482E">
        <w:rPr>
          <w:rFonts w:ascii="PT Astra Serif" w:hAnsi="PT Astra Serif"/>
        </w:rPr>
        <w:t xml:space="preserve"> мер</w:t>
      </w:r>
      <w:r w:rsidR="00406414" w:rsidRPr="0053482E">
        <w:rPr>
          <w:rFonts w:ascii="PT Astra Serif" w:hAnsi="PT Astra Serif"/>
        </w:rPr>
        <w:t>ами</w:t>
      </w:r>
      <w:r w:rsidRPr="0053482E">
        <w:rPr>
          <w:rFonts w:ascii="PT Astra Serif" w:hAnsi="PT Astra Serif"/>
        </w:rPr>
        <w:t xml:space="preserve"> государственной поддержки в соответствии                  с законодательством Ульяновской области.</w:t>
      </w:r>
      <w:r w:rsidR="00406414" w:rsidRPr="0053482E">
        <w:rPr>
          <w:rFonts w:ascii="PT Astra Serif" w:hAnsi="PT Astra Serif"/>
        </w:rPr>
        <w:t xml:space="preserve"> </w:t>
      </w:r>
      <w:r w:rsidR="00FF7168" w:rsidRPr="0053482E">
        <w:rPr>
          <w:rFonts w:ascii="PT Astra Serif" w:hAnsi="PT Astra Serif"/>
        </w:rPr>
        <w:t xml:space="preserve">Что в свою очередь будет </w:t>
      </w:r>
      <w:r w:rsidR="00406414" w:rsidRPr="0053482E">
        <w:rPr>
          <w:rFonts w:ascii="PT Astra Serif" w:hAnsi="PT Astra Serif"/>
        </w:rPr>
        <w:t>способств</w:t>
      </w:r>
      <w:r w:rsidR="00FF7168" w:rsidRPr="0053482E">
        <w:rPr>
          <w:rFonts w:ascii="PT Astra Serif" w:hAnsi="PT Astra Serif"/>
        </w:rPr>
        <w:t>овать</w:t>
      </w:r>
      <w:r w:rsidR="00406414" w:rsidRPr="0053482E">
        <w:rPr>
          <w:rFonts w:ascii="PT Astra Serif" w:hAnsi="PT Astra Serif"/>
        </w:rPr>
        <w:t xml:space="preserve"> расширению </w:t>
      </w:r>
      <w:proofErr w:type="gramStart"/>
      <w:r w:rsidR="00406414" w:rsidRPr="0053482E">
        <w:rPr>
          <w:rFonts w:ascii="PT Astra Serif" w:hAnsi="PT Astra Serif"/>
        </w:rPr>
        <w:t>масштабов строительства</w:t>
      </w:r>
      <w:r w:rsidR="00FF7168" w:rsidRPr="0053482E">
        <w:rPr>
          <w:rFonts w:ascii="PT Astra Serif" w:hAnsi="PT Astra Serif"/>
        </w:rPr>
        <w:t xml:space="preserve"> объектов заправки транспортных средств</w:t>
      </w:r>
      <w:proofErr w:type="gramEnd"/>
      <w:r w:rsidR="00FF7168" w:rsidRPr="0053482E">
        <w:rPr>
          <w:rFonts w:ascii="PT Astra Serif" w:hAnsi="PT Astra Serif"/>
        </w:rPr>
        <w:t xml:space="preserve"> природным газом</w:t>
      </w:r>
      <w:r w:rsidR="00406414" w:rsidRPr="0053482E">
        <w:rPr>
          <w:rFonts w:ascii="PT Astra Serif" w:hAnsi="PT Astra Serif"/>
        </w:rPr>
        <w:t xml:space="preserve"> на территории Ульяновской области </w:t>
      </w:r>
      <w:r w:rsidR="00FF7168" w:rsidRPr="0053482E">
        <w:rPr>
          <w:rFonts w:ascii="PT Astra Serif" w:hAnsi="PT Astra Serif"/>
        </w:rPr>
        <w:t>и д</w:t>
      </w:r>
      <w:r w:rsidRPr="0053482E">
        <w:rPr>
          <w:rFonts w:ascii="PT Astra Serif" w:hAnsi="PT Astra Serif"/>
        </w:rPr>
        <w:t>ости</w:t>
      </w:r>
      <w:r w:rsidR="00FF7168" w:rsidRPr="0053482E">
        <w:rPr>
          <w:rFonts w:ascii="PT Astra Serif" w:hAnsi="PT Astra Serif"/>
        </w:rPr>
        <w:t>жению</w:t>
      </w:r>
      <w:r w:rsidRPr="0053482E">
        <w:rPr>
          <w:rFonts w:ascii="PT Astra Serif" w:hAnsi="PT Astra Serif"/>
        </w:rPr>
        <w:t xml:space="preserve"> показател</w:t>
      </w:r>
      <w:r w:rsidR="00FF7168" w:rsidRPr="0053482E">
        <w:rPr>
          <w:rFonts w:ascii="PT Astra Serif" w:hAnsi="PT Astra Serif"/>
        </w:rPr>
        <w:t>ей</w:t>
      </w:r>
      <w:r w:rsidRPr="0053482E">
        <w:rPr>
          <w:rFonts w:ascii="PT Astra Serif" w:hAnsi="PT Astra Serif"/>
        </w:rPr>
        <w:t>, установленных государственной программой «Развитие энергетики»</w:t>
      </w:r>
      <w:r w:rsidR="00FF7168" w:rsidRPr="0053482E">
        <w:rPr>
          <w:rFonts w:ascii="PT Astra Serif" w:hAnsi="PT Astra Serif"/>
        </w:rPr>
        <w:t>.</w:t>
      </w:r>
    </w:p>
    <w:p w:rsidR="003B2889" w:rsidRPr="0053482E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Таким образом, принятие проекта акта направлено на решение проблемы </w:t>
      </w:r>
      <w:r w:rsidR="003D6F00" w:rsidRPr="0053482E">
        <w:rPr>
          <w:rFonts w:ascii="PT Astra Serif" w:hAnsi="PT Astra Serif"/>
        </w:rPr>
        <w:t>создания необходимых нормативных правовых условий для стимулирования строительства объектов заправки транспортных сре</w:t>
      </w:r>
      <w:proofErr w:type="gramStart"/>
      <w:r w:rsidR="003D6F00" w:rsidRPr="0053482E">
        <w:rPr>
          <w:rFonts w:ascii="PT Astra Serif" w:hAnsi="PT Astra Serif"/>
        </w:rPr>
        <w:t>дств пр</w:t>
      </w:r>
      <w:proofErr w:type="gramEnd"/>
      <w:r w:rsidR="003D6F00" w:rsidRPr="0053482E">
        <w:rPr>
          <w:rFonts w:ascii="PT Astra Serif" w:hAnsi="PT Astra Serif"/>
        </w:rPr>
        <w:t>иродным газом на территории Ульяновской области</w:t>
      </w:r>
      <w:r w:rsidRPr="0053482E">
        <w:rPr>
          <w:rFonts w:ascii="PT Astra Serif" w:hAnsi="PT Astra Serif"/>
        </w:rPr>
        <w:t>.</w:t>
      </w:r>
    </w:p>
    <w:p w:rsidR="00DA5377" w:rsidRPr="0053482E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53482E" w:rsidRDefault="00DA5377" w:rsidP="00DA5377">
      <w:pPr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53482E" w:rsidRDefault="00DA5377" w:rsidP="00DA5377">
      <w:pPr>
        <w:ind w:firstLine="709"/>
        <w:jc w:val="right"/>
        <w:rPr>
          <w:rFonts w:ascii="PT Astra Serif" w:hAnsi="PT Astra Serif"/>
        </w:rPr>
      </w:pPr>
      <w:r w:rsidRPr="0053482E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53482E" w:rsidTr="002920B4">
        <w:tc>
          <w:tcPr>
            <w:tcW w:w="4219" w:type="dxa"/>
          </w:tcPr>
          <w:p w:rsidR="00DA5377" w:rsidRPr="0053482E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53482E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53482E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53482E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53482E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482E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53482E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53482E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482E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AE5413" w:rsidRPr="0053482E" w:rsidTr="00B7306B">
        <w:trPr>
          <w:trHeight w:val="428"/>
        </w:trPr>
        <w:tc>
          <w:tcPr>
            <w:tcW w:w="4219" w:type="dxa"/>
          </w:tcPr>
          <w:p w:rsidR="00AE5413" w:rsidRPr="0053482E" w:rsidRDefault="00AE5413" w:rsidP="00AE54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t xml:space="preserve">В целях установления </w:t>
            </w:r>
            <w:proofErr w:type="spellStart"/>
            <w:proofErr w:type="gramStart"/>
            <w:r w:rsidRPr="0053482E">
              <w:rPr>
                <w:rFonts w:ascii="PT Astra Serif" w:hAnsi="PT Astra Serif"/>
                <w:sz w:val="24"/>
                <w:szCs w:val="24"/>
              </w:rPr>
              <w:t>дополнитель</w:t>
            </w:r>
            <w:r w:rsidRPr="0053482E">
              <w:rPr>
                <w:rFonts w:ascii="PT Astra Serif" w:hAnsi="PT Astra Serif"/>
                <w:sz w:val="24"/>
                <w:szCs w:val="24"/>
              </w:rPr>
              <w:t>-</w:t>
            </w:r>
            <w:r w:rsidRPr="0053482E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proofErr w:type="gramEnd"/>
            <w:r w:rsidRPr="0053482E">
              <w:rPr>
                <w:rFonts w:ascii="PT Astra Serif" w:hAnsi="PT Astra Serif"/>
                <w:sz w:val="24"/>
                <w:szCs w:val="24"/>
              </w:rPr>
              <w:t xml:space="preserve"> мер</w:t>
            </w:r>
            <w:r w:rsidRPr="0053482E">
              <w:rPr>
                <w:rFonts w:ascii="PT Astra Serif" w:hAnsi="PT Astra Serif"/>
                <w:sz w:val="24"/>
                <w:szCs w:val="24"/>
              </w:rPr>
              <w:t xml:space="preserve"> поддержки</w:t>
            </w:r>
            <w:r w:rsidRPr="0053482E">
              <w:rPr>
                <w:rFonts w:ascii="PT Astra Serif" w:hAnsi="PT Astra Serif"/>
                <w:sz w:val="24"/>
                <w:szCs w:val="24"/>
              </w:rPr>
              <w:t xml:space="preserve">, способствующих расширению масштабов строительства </w:t>
            </w:r>
            <w:r w:rsidRPr="0053482E">
              <w:rPr>
                <w:rFonts w:ascii="PT Astra Serif" w:hAnsi="PT Astra Serif"/>
                <w:sz w:val="24"/>
                <w:szCs w:val="24"/>
              </w:rPr>
              <w:lastRenderedPageBreak/>
              <w:t>на территории Ульяновской области объектов заправки транспортных средств природным газом</w:t>
            </w:r>
          </w:p>
        </w:tc>
        <w:tc>
          <w:tcPr>
            <w:tcW w:w="2552" w:type="dxa"/>
          </w:tcPr>
          <w:p w:rsidR="00AE5413" w:rsidRPr="0053482E" w:rsidRDefault="00AE5413" w:rsidP="00AE54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 весь период действия </w:t>
            </w:r>
            <w:r w:rsidRPr="0053482E">
              <w:rPr>
                <w:rFonts w:ascii="PT Astra Serif" w:hAnsi="PT Astra Serif"/>
                <w:sz w:val="24"/>
                <w:szCs w:val="24"/>
              </w:rPr>
              <w:t>Закона</w:t>
            </w:r>
          </w:p>
        </w:tc>
        <w:tc>
          <w:tcPr>
            <w:tcW w:w="3057" w:type="dxa"/>
          </w:tcPr>
          <w:p w:rsidR="00AE5413" w:rsidRPr="0053482E" w:rsidRDefault="00AE5413" w:rsidP="00B73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53482E" w:rsidRDefault="00DA5377" w:rsidP="00DA5377">
      <w:pPr>
        <w:ind w:firstLine="708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53482E">
        <w:rPr>
          <w:rFonts w:ascii="PT Astra Serif" w:hAnsi="PT Astra Serif"/>
        </w:rPr>
        <w:t>.</w:t>
      </w:r>
    </w:p>
    <w:p w:rsidR="000776F9" w:rsidRPr="0053482E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482E">
        <w:rPr>
          <w:rFonts w:ascii="PT Astra Serif" w:hAnsi="PT Astra Serif"/>
        </w:rPr>
        <w:t>По итогам мониторинга рег</w:t>
      </w:r>
      <w:bookmarkStart w:id="0" w:name="_GoBack"/>
      <w:bookmarkEnd w:id="0"/>
      <w:r w:rsidRPr="0053482E">
        <w:rPr>
          <w:rFonts w:ascii="PT Astra Serif" w:hAnsi="PT Astra Serif"/>
        </w:rPr>
        <w:t xml:space="preserve">ионального законодательства в </w:t>
      </w:r>
      <w:r w:rsidR="000A7CB5" w:rsidRPr="0053482E">
        <w:rPr>
          <w:rFonts w:ascii="PT Astra Serif" w:hAnsi="PT Astra Serif"/>
        </w:rPr>
        <w:t>части</w:t>
      </w:r>
      <w:r w:rsidR="00A03D2B" w:rsidRPr="0053482E">
        <w:rPr>
          <w:rFonts w:ascii="PT Astra Serif" w:hAnsi="PT Astra Serif"/>
        </w:rPr>
        <w:t xml:space="preserve"> </w:t>
      </w:r>
      <w:r w:rsidR="00656B9F" w:rsidRPr="0053482E">
        <w:rPr>
          <w:rFonts w:ascii="PT Astra Serif" w:hAnsi="PT Astra Serif"/>
        </w:rPr>
        <w:t xml:space="preserve">установления дополнительных мер по </w:t>
      </w:r>
      <w:r w:rsidR="00656B9F" w:rsidRPr="0053482E">
        <w:rPr>
          <w:rFonts w:ascii="PT Astra Serif" w:hAnsi="PT Astra Serif"/>
        </w:rPr>
        <w:t xml:space="preserve">расширению масштабов строительства на территории </w:t>
      </w:r>
      <w:r w:rsidR="00656B9F" w:rsidRPr="0053482E">
        <w:rPr>
          <w:rFonts w:ascii="PT Astra Serif" w:hAnsi="PT Astra Serif"/>
        </w:rPr>
        <w:t>субъектов Российской Федерации</w:t>
      </w:r>
      <w:r w:rsidR="00656B9F" w:rsidRPr="0053482E">
        <w:rPr>
          <w:rFonts w:ascii="PT Astra Serif" w:hAnsi="PT Astra Serif"/>
        </w:rPr>
        <w:t xml:space="preserve"> объектов заправки транспортных средств природным газом</w:t>
      </w:r>
      <w:r w:rsidR="000A7CB5" w:rsidRPr="0053482E">
        <w:rPr>
          <w:rFonts w:ascii="PT Astra Serif" w:hAnsi="PT Astra Serif"/>
        </w:rPr>
        <w:t>, установлено, что</w:t>
      </w:r>
      <w:r w:rsidR="00075BD2" w:rsidRPr="0053482E">
        <w:rPr>
          <w:rFonts w:ascii="PT Astra Serif" w:hAnsi="PT Astra Serif" w:cs="PT Astra Serif"/>
        </w:rPr>
        <w:t xml:space="preserve"> </w:t>
      </w:r>
      <w:r w:rsidR="00257389" w:rsidRPr="0053482E">
        <w:rPr>
          <w:rFonts w:ascii="PT Astra Serif" w:hAnsi="PT Astra Serif"/>
        </w:rPr>
        <w:t xml:space="preserve">в </w:t>
      </w:r>
      <w:r w:rsidR="00656B9F" w:rsidRPr="0053482E">
        <w:rPr>
          <w:rFonts w:ascii="PT Astra Serif" w:hAnsi="PT Astra Serif"/>
        </w:rPr>
        <w:t>основном в </w:t>
      </w:r>
      <w:r w:rsidR="00257389" w:rsidRPr="0053482E">
        <w:rPr>
          <w:rFonts w:ascii="PT Astra Serif" w:hAnsi="PT Astra Serif"/>
        </w:rPr>
        <w:t>субъект</w:t>
      </w:r>
      <w:r w:rsidR="00656B9F" w:rsidRPr="0053482E">
        <w:rPr>
          <w:rFonts w:ascii="PT Astra Serif" w:hAnsi="PT Astra Serif"/>
        </w:rPr>
        <w:t>ах</w:t>
      </w:r>
      <w:r w:rsidR="00257389" w:rsidRPr="0053482E">
        <w:rPr>
          <w:rFonts w:ascii="PT Astra Serif" w:hAnsi="PT Astra Serif"/>
        </w:rPr>
        <w:t xml:space="preserve"> Российской Федерации</w:t>
      </w:r>
      <w:r w:rsidR="00656B9F" w:rsidRPr="0053482E">
        <w:rPr>
          <w:rFonts w:ascii="PT Astra Serif" w:hAnsi="PT Astra Serif"/>
        </w:rPr>
        <w:t xml:space="preserve"> предоставляются субсидии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по строительству таких объектов</w:t>
      </w:r>
      <w:r w:rsidR="002E3604" w:rsidRPr="0053482E">
        <w:rPr>
          <w:rFonts w:ascii="PT Astra Serif" w:hAnsi="PT Astra Serif"/>
        </w:rPr>
        <w:t>.</w:t>
      </w:r>
      <w:proofErr w:type="gramEnd"/>
      <w:r w:rsidR="002E3604" w:rsidRPr="0053482E">
        <w:rPr>
          <w:rFonts w:ascii="PT Astra Serif" w:hAnsi="PT Astra Serif"/>
        </w:rPr>
        <w:t xml:space="preserve"> </w:t>
      </w:r>
      <w:r w:rsidR="000776F9" w:rsidRPr="0053482E">
        <w:rPr>
          <w:rFonts w:ascii="PT Astra Serif" w:hAnsi="PT Astra Serif"/>
        </w:rPr>
        <w:t>Так, например:</w:t>
      </w:r>
    </w:p>
    <w:p w:rsidR="009A7401" w:rsidRPr="0053482E" w:rsidRDefault="00AB632D" w:rsidP="00AB63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- </w:t>
      </w:r>
      <w:r w:rsidR="00656B9F" w:rsidRPr="0053482E">
        <w:rPr>
          <w:rFonts w:ascii="PT Astra Serif" w:hAnsi="PT Astra Serif"/>
        </w:rPr>
        <w:t>постановление Правительства Ставропольского края от 22.03.2021 № 111-п «Об утверждении Порядка предоставления в 2021 и 2022 годах за счёт средств бюджета Ставропольского края субсидий юридическим лицам и индивидуальным предпринимателям, реализующим инвестиционные проекты по строительству объектов заправки транспортных сре</w:t>
      </w:r>
      <w:proofErr w:type="gramStart"/>
      <w:r w:rsidR="00656B9F" w:rsidRPr="0053482E">
        <w:rPr>
          <w:rFonts w:ascii="PT Astra Serif" w:hAnsi="PT Astra Serif"/>
        </w:rPr>
        <w:t>дств пр</w:t>
      </w:r>
      <w:proofErr w:type="gramEnd"/>
      <w:r w:rsidR="00656B9F" w:rsidRPr="0053482E">
        <w:rPr>
          <w:rFonts w:ascii="PT Astra Serif" w:hAnsi="PT Astra Serif"/>
        </w:rPr>
        <w:t>иродным газом, на возмещение части затрат на строительство таких объектов»</w:t>
      </w:r>
      <w:r w:rsidRPr="0053482E">
        <w:rPr>
          <w:rFonts w:ascii="PT Astra Serif" w:hAnsi="PT Astra Serif"/>
        </w:rPr>
        <w:t>;</w:t>
      </w:r>
    </w:p>
    <w:p w:rsidR="00AB632D" w:rsidRPr="0053482E" w:rsidRDefault="00AB632D" w:rsidP="00973D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- </w:t>
      </w:r>
      <w:r w:rsidR="00656B9F" w:rsidRPr="0053482E">
        <w:rPr>
          <w:rFonts w:ascii="PT Astra Serif" w:hAnsi="PT Astra Serif"/>
        </w:rPr>
        <w:t>постановление Правительства Саратовской области от 28.05.2021 № 393-П «Об утверждении Положения о предоставлении из областного бюджета субсидии на возмещение части затрат по строительству объектов заправки транспортных сре</w:t>
      </w:r>
      <w:proofErr w:type="gramStart"/>
      <w:r w:rsidR="00656B9F" w:rsidRPr="0053482E">
        <w:rPr>
          <w:rFonts w:ascii="PT Astra Serif" w:hAnsi="PT Astra Serif"/>
        </w:rPr>
        <w:t>дств пр</w:t>
      </w:r>
      <w:proofErr w:type="gramEnd"/>
      <w:r w:rsidR="00656B9F" w:rsidRPr="0053482E">
        <w:rPr>
          <w:rFonts w:ascii="PT Astra Serif" w:hAnsi="PT Astra Serif"/>
        </w:rPr>
        <w:t>иродным газом»</w:t>
      </w:r>
      <w:r w:rsidR="00973DAA" w:rsidRPr="0053482E">
        <w:rPr>
          <w:rFonts w:ascii="PT Astra Serif" w:hAnsi="PT Astra Serif"/>
        </w:rPr>
        <w:t>;</w:t>
      </w:r>
    </w:p>
    <w:p w:rsidR="00973DAA" w:rsidRPr="0053482E" w:rsidRDefault="00973DAA" w:rsidP="00F458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- </w:t>
      </w:r>
      <w:r w:rsidR="00656B9F" w:rsidRPr="0053482E">
        <w:rPr>
          <w:rFonts w:ascii="PT Astra Serif" w:hAnsi="PT Astra Serif"/>
        </w:rPr>
        <w:t>постановление Правительства Сахалинской области от 28.05.2021 № 200 «Об утверждении Порядка предоставления субсидий юридическим лицам и индивидуальным предпринимателям на возмещение затрат на строительство объектов заправки транспортных средств компримированным природным газом»</w:t>
      </w:r>
      <w:r w:rsidR="00F458BB" w:rsidRPr="0053482E">
        <w:rPr>
          <w:rFonts w:ascii="PT Astra Serif" w:hAnsi="PT Astra Serif"/>
        </w:rPr>
        <w:t>;</w:t>
      </w:r>
    </w:p>
    <w:p w:rsidR="00F458BB" w:rsidRPr="0053482E" w:rsidRDefault="00F458BB" w:rsidP="00F458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- </w:t>
      </w:r>
      <w:r w:rsidR="00F03E45" w:rsidRPr="0053482E">
        <w:rPr>
          <w:rFonts w:ascii="PT Astra Serif" w:hAnsi="PT Astra Serif"/>
        </w:rPr>
        <w:t>постановление Правительства Челябинской области от 30.04.2021 № 170-П «О Порядке предоставления в 2021-2022 годах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</w:t>
      </w:r>
      <w:proofErr w:type="gramStart"/>
      <w:r w:rsidR="00F03E45" w:rsidRPr="0053482E">
        <w:rPr>
          <w:rFonts w:ascii="PT Astra Serif" w:hAnsi="PT Astra Serif"/>
        </w:rPr>
        <w:t>дств пр</w:t>
      </w:r>
      <w:proofErr w:type="gramEnd"/>
      <w:r w:rsidR="00F03E45" w:rsidRPr="0053482E">
        <w:rPr>
          <w:rFonts w:ascii="PT Astra Serif" w:hAnsi="PT Astra Serif"/>
        </w:rPr>
        <w:t>иродным газом, на компенсацию части затрат по строительству таких объектов»;</w:t>
      </w:r>
    </w:p>
    <w:p w:rsidR="00F03E45" w:rsidRPr="0053482E" w:rsidRDefault="00F03E45" w:rsidP="00F458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- постановление Правительства Воронежской области от 25.12.2019 № 1292 «Об утверждении Порядка предоставления из областного бюджета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</w:t>
      </w:r>
      <w:proofErr w:type="gramStart"/>
      <w:r w:rsidRPr="0053482E">
        <w:rPr>
          <w:rFonts w:ascii="PT Astra Serif" w:hAnsi="PT Astra Serif"/>
        </w:rPr>
        <w:t>дств пр</w:t>
      </w:r>
      <w:proofErr w:type="gramEnd"/>
      <w:r w:rsidRPr="0053482E">
        <w:rPr>
          <w:rFonts w:ascii="PT Astra Serif" w:hAnsi="PT Astra Serif"/>
        </w:rPr>
        <w:t>иродным газом, на компенсацию части затрат на строительство таких объектов».</w:t>
      </w:r>
    </w:p>
    <w:p w:rsidR="00DA5377" w:rsidRPr="0053482E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966775" w:rsidRPr="0053482E" w:rsidRDefault="0038567E" w:rsidP="009667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Согласно проекту акта </w:t>
      </w:r>
      <w:r w:rsidR="00966775" w:rsidRPr="0053482E">
        <w:rPr>
          <w:rFonts w:ascii="PT Astra Serif" w:hAnsi="PT Astra Serif"/>
        </w:rPr>
        <w:t>п</w:t>
      </w:r>
      <w:r w:rsidR="00966775" w:rsidRPr="0053482E">
        <w:rPr>
          <w:rFonts w:ascii="PT Astra Serif" w:hAnsi="PT Astra Serif"/>
        </w:rPr>
        <w:t>роекту по строительству объекта заправки может быть присвоен статус приоритетного инвестиционного проекта по</w:t>
      </w:r>
      <w:r w:rsidR="00966775" w:rsidRPr="0053482E">
        <w:rPr>
          <w:rFonts w:ascii="PT Astra Serif" w:hAnsi="PT Astra Serif"/>
        </w:rPr>
        <w:t> </w:t>
      </w:r>
      <w:r w:rsidR="00966775" w:rsidRPr="0053482E">
        <w:rPr>
          <w:rFonts w:ascii="PT Astra Serif" w:hAnsi="PT Astra Serif"/>
        </w:rPr>
        <w:t>строительству объекта заправки в случае, если:</w:t>
      </w:r>
    </w:p>
    <w:p w:rsidR="00966775" w:rsidRPr="0053482E" w:rsidRDefault="00966775" w:rsidP="009667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lastRenderedPageBreak/>
        <w:t>1) суммарная выходная мощность компрессорного оборудования на</w:t>
      </w:r>
      <w:r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верхней границе диапазона входного давления и (или) </w:t>
      </w:r>
      <w:proofErr w:type="spellStart"/>
      <w:r w:rsidRPr="0053482E">
        <w:rPr>
          <w:rFonts w:ascii="PT Astra Serif" w:hAnsi="PT Astra Serif"/>
        </w:rPr>
        <w:t>регазификационного</w:t>
      </w:r>
      <w:proofErr w:type="spellEnd"/>
      <w:r w:rsidRPr="0053482E">
        <w:rPr>
          <w:rFonts w:ascii="PT Astra Serif" w:hAnsi="PT Astra Serif"/>
        </w:rPr>
        <w:t xml:space="preserve"> оборудования объекта заправки составляет не менее 500 м3/ч;</w:t>
      </w:r>
    </w:p>
    <w:p w:rsidR="00966775" w:rsidRPr="0053482E" w:rsidRDefault="00966775" w:rsidP="009667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2) количество постов заправки компримированным природным газом (пистолетов) на объекте заправки составляет не менее 4 единиц;</w:t>
      </w:r>
    </w:p>
    <w:p w:rsidR="00966775" w:rsidRPr="0053482E" w:rsidRDefault="00966775" w:rsidP="009667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3) общий объём блоков аккумуляторов газа на объекте заправки составляет не менее 2000 литров (а если указанная в пункте 1 настоящей части суммарная выходная мощность составляет не менее 1000 м3/ч – не менее 1</w:t>
      </w:r>
      <w:r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000</w:t>
      </w:r>
      <w:r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литров);</w:t>
      </w:r>
    </w:p>
    <w:p w:rsidR="00966775" w:rsidRPr="0053482E" w:rsidRDefault="00966775" w:rsidP="009667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4) объект заправки планируется ввести в эксплуатацию в течение трёх лет со дня приобретения прав на земельный участок, на котором будет осуществляться строительство объекта заправки;</w:t>
      </w:r>
    </w:p>
    <w:p w:rsidR="00966775" w:rsidRPr="0053482E" w:rsidRDefault="00966775" w:rsidP="009667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5) объём инвестиций, подлежащих осуществлению в связи с реализацией проекта по строительству объекта заправки, составляет не менее пятидесяти миллионов рублей.</w:t>
      </w:r>
    </w:p>
    <w:p w:rsidR="00966775" w:rsidRPr="0053482E" w:rsidRDefault="00966775" w:rsidP="009667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Данные т</w:t>
      </w:r>
      <w:r w:rsidRPr="0053482E">
        <w:rPr>
          <w:rFonts w:ascii="PT Astra Serif" w:hAnsi="PT Astra Serif"/>
        </w:rPr>
        <w:t>ребования</w:t>
      </w:r>
      <w:r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 xml:space="preserve">к объектам заправки транспортных </w:t>
      </w:r>
      <w:proofErr w:type="gramStart"/>
      <w:r w:rsidRPr="0053482E">
        <w:rPr>
          <w:rFonts w:ascii="PT Astra Serif" w:hAnsi="PT Astra Serif"/>
        </w:rPr>
        <w:t>средств</w:t>
      </w:r>
      <w:proofErr w:type="gramEnd"/>
      <w:r w:rsidRPr="0053482E">
        <w:rPr>
          <w:rFonts w:ascii="PT Astra Serif" w:hAnsi="PT Astra Serif"/>
        </w:rPr>
        <w:t xml:space="preserve"> компримированным природным газом</w:t>
      </w:r>
      <w:r w:rsidRPr="0053482E">
        <w:rPr>
          <w:rFonts w:ascii="PT Astra Serif" w:hAnsi="PT Astra Serif"/>
        </w:rPr>
        <w:t xml:space="preserve"> соответствуют требованиям, установленным </w:t>
      </w:r>
      <w:r w:rsidRPr="0053482E">
        <w:rPr>
          <w:rFonts w:ascii="PT Astra Serif" w:hAnsi="PT Astra Serif"/>
        </w:rPr>
        <w:t>Правила</w:t>
      </w:r>
      <w:r w:rsidRPr="0053482E">
        <w:rPr>
          <w:rFonts w:ascii="PT Astra Serif" w:hAnsi="PT Astra Serif"/>
        </w:rPr>
        <w:t xml:space="preserve">ми </w:t>
      </w:r>
      <w:r w:rsidRPr="0053482E">
        <w:rPr>
          <w:rFonts w:ascii="PT Astra Serif" w:hAnsi="PT Astra Serif"/>
        </w:rPr>
        <w:t>предоставления и распределения субсидий из</w:t>
      </w:r>
      <w:r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федерального бюджета бюджетам субъектов Российской Федерации в целях </w:t>
      </w:r>
      <w:proofErr w:type="spellStart"/>
      <w:r w:rsidRPr="0053482E">
        <w:rPr>
          <w:rFonts w:ascii="PT Astra Serif" w:hAnsi="PT Astra Serif"/>
        </w:rPr>
        <w:t>софинансирования</w:t>
      </w:r>
      <w:proofErr w:type="spellEnd"/>
      <w:r w:rsidRPr="0053482E">
        <w:rPr>
          <w:rFonts w:ascii="PT Astra Serif" w:hAnsi="PT Astra Serif"/>
        </w:rP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</w:t>
      </w:r>
      <w:r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государственной программы «Развитие энергетики»</w:t>
      </w:r>
      <w:r w:rsidRPr="0053482E">
        <w:rPr>
          <w:rFonts w:ascii="PT Astra Serif" w:hAnsi="PT Astra Serif"/>
        </w:rPr>
        <w:t>.</w:t>
      </w:r>
    </w:p>
    <w:p w:rsidR="00F04A6F" w:rsidRPr="0053482E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 Однако данный вариа</w:t>
      </w:r>
      <w:r w:rsidR="006A778A" w:rsidRPr="0053482E">
        <w:rPr>
          <w:rFonts w:ascii="PT Astra Serif" w:hAnsi="PT Astra Serif"/>
        </w:rPr>
        <w:t xml:space="preserve">нт решения проблемы </w:t>
      </w:r>
      <w:r w:rsidR="00CE0FB7" w:rsidRPr="0053482E">
        <w:rPr>
          <w:rFonts w:ascii="PT Astra Serif" w:hAnsi="PT Astra Serif"/>
        </w:rPr>
        <w:t xml:space="preserve">не позволит </w:t>
      </w:r>
      <w:r w:rsidR="00A75DDA" w:rsidRPr="0053482E">
        <w:rPr>
          <w:rFonts w:ascii="PT Astra Serif" w:hAnsi="PT Astra Serif"/>
        </w:rPr>
        <w:t>создать необходимые нормативные правовые условия для расширени</w:t>
      </w:r>
      <w:r w:rsidR="00A75DDA" w:rsidRPr="0053482E">
        <w:rPr>
          <w:rFonts w:ascii="PT Astra Serif" w:hAnsi="PT Astra Serif"/>
        </w:rPr>
        <w:t>я</w:t>
      </w:r>
      <w:r w:rsidR="00A75DDA" w:rsidRPr="0053482E">
        <w:rPr>
          <w:rFonts w:ascii="PT Astra Serif" w:hAnsi="PT Astra Serif"/>
        </w:rPr>
        <w:t xml:space="preserve"> </w:t>
      </w:r>
      <w:proofErr w:type="gramStart"/>
      <w:r w:rsidR="00A75DDA" w:rsidRPr="0053482E">
        <w:rPr>
          <w:rFonts w:ascii="PT Astra Serif" w:hAnsi="PT Astra Serif"/>
        </w:rPr>
        <w:t xml:space="preserve">масштабов строительства </w:t>
      </w:r>
      <w:r w:rsidR="00A75DDA" w:rsidRPr="0053482E">
        <w:rPr>
          <w:rFonts w:ascii="PT Astra Serif" w:hAnsi="PT Astra Serif"/>
        </w:rPr>
        <w:t xml:space="preserve">объектов </w:t>
      </w:r>
      <w:r w:rsidR="00A75DDA" w:rsidRPr="0053482E">
        <w:rPr>
          <w:rFonts w:ascii="PT Astra Serif" w:hAnsi="PT Astra Serif"/>
        </w:rPr>
        <w:t>заправки транспортных средств</w:t>
      </w:r>
      <w:proofErr w:type="gramEnd"/>
      <w:r w:rsidR="00A75DDA" w:rsidRPr="0053482E">
        <w:rPr>
          <w:rFonts w:ascii="PT Astra Serif" w:hAnsi="PT Astra Serif"/>
        </w:rPr>
        <w:t xml:space="preserve"> природным газом</w:t>
      </w:r>
      <w:r w:rsidR="00A75DDA" w:rsidRPr="0053482E">
        <w:rPr>
          <w:rFonts w:ascii="PT Astra Serif" w:hAnsi="PT Astra Serif"/>
        </w:rPr>
        <w:t xml:space="preserve"> </w:t>
      </w:r>
      <w:r w:rsidR="00A75DDA" w:rsidRPr="0053482E">
        <w:rPr>
          <w:rFonts w:ascii="PT Astra Serif" w:hAnsi="PT Astra Serif"/>
        </w:rPr>
        <w:t>на территории Ульяновской области</w:t>
      </w:r>
      <w:r w:rsidR="00CE0FB7" w:rsidRPr="0053482E">
        <w:rPr>
          <w:rFonts w:ascii="PT Astra Serif" w:hAnsi="PT Astra Serif"/>
        </w:rPr>
        <w:t>.</w:t>
      </w:r>
    </w:p>
    <w:p w:rsidR="00DA5377" w:rsidRPr="0053482E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 w:rsidRPr="0053482E">
        <w:rPr>
          <w:rFonts w:ascii="PT Astra Serif" w:hAnsi="PT Astra Serif"/>
        </w:rPr>
        <w:t xml:space="preserve">правового </w:t>
      </w:r>
      <w:r w:rsidRPr="0053482E">
        <w:rPr>
          <w:rFonts w:ascii="PT Astra Serif" w:hAnsi="PT Astra Serif"/>
        </w:rPr>
        <w:t>регулирования.</w:t>
      </w:r>
    </w:p>
    <w:p w:rsidR="00DA5377" w:rsidRPr="0053482E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53482E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A75DDA" w:rsidRPr="0053482E">
        <w:rPr>
          <w:rFonts w:ascii="PT Astra Serif" w:hAnsi="PT Astra Serif"/>
        </w:rPr>
        <w:t>ю</w:t>
      </w:r>
      <w:r w:rsidR="00A75DDA" w:rsidRPr="0053482E">
        <w:rPr>
          <w:rFonts w:ascii="PT Astra Serif" w:hAnsi="PT Astra Serif"/>
        </w:rPr>
        <w:t>ридические лица, осуществляющие в границах территории Ульяновской области строительство объектов заправки в качестве застройщика, технического заказчика и (или) генерального подрядчика</w:t>
      </w:r>
      <w:r w:rsidRPr="0053482E">
        <w:rPr>
          <w:rFonts w:ascii="PT Astra Serif" w:hAnsi="PT Astra Serif"/>
        </w:rPr>
        <w:t>.</w:t>
      </w:r>
    </w:p>
    <w:p w:rsidR="00FF0AAD" w:rsidRPr="0053482E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 w:rsidRPr="0053482E">
        <w:rPr>
          <w:rFonts w:ascii="PT Astra Serif" w:hAnsi="PT Astra Serif"/>
        </w:rPr>
        <w:t xml:space="preserve"> </w:t>
      </w:r>
      <w:r w:rsidR="00FF0AAD" w:rsidRPr="0053482E">
        <w:rPr>
          <w:rFonts w:ascii="PT Astra Serif" w:hAnsi="PT Astra Serif"/>
        </w:rPr>
        <w:t xml:space="preserve">не </w:t>
      </w:r>
      <w:r w:rsidRPr="0053482E">
        <w:rPr>
          <w:rFonts w:ascii="PT Astra Serif" w:hAnsi="PT Astra Serif"/>
        </w:rPr>
        <w:t>представлена</w:t>
      </w:r>
      <w:r w:rsidR="00FF0AAD" w:rsidRPr="0053482E">
        <w:rPr>
          <w:rFonts w:ascii="PT Astra Serif" w:hAnsi="PT Astra Serif"/>
        </w:rPr>
        <w:t>.</w:t>
      </w:r>
    </w:p>
    <w:p w:rsidR="00DA5377" w:rsidRPr="0053482E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A5F30" w:rsidRPr="0053482E" w:rsidRDefault="005A5F30" w:rsidP="005A5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Pr="0053482E">
        <w:rPr>
          <w:rFonts w:ascii="PT Astra Serif" w:hAnsi="PT Astra Serif"/>
        </w:rPr>
        <w:t>07</w:t>
      </w:r>
      <w:r w:rsidRPr="0053482E">
        <w:rPr>
          <w:rFonts w:ascii="PT Astra Serif" w:hAnsi="PT Astra Serif"/>
        </w:rPr>
        <w:t>.0</w:t>
      </w:r>
      <w:r w:rsidRPr="0053482E">
        <w:rPr>
          <w:rFonts w:ascii="PT Astra Serif" w:hAnsi="PT Astra Serif"/>
        </w:rPr>
        <w:t>9</w:t>
      </w:r>
      <w:r w:rsidRPr="0053482E">
        <w:rPr>
          <w:rFonts w:ascii="PT Astra Serif" w:hAnsi="PT Astra Serif"/>
        </w:rPr>
        <w:t xml:space="preserve">.2021 по </w:t>
      </w:r>
      <w:r w:rsidRPr="0053482E">
        <w:rPr>
          <w:rFonts w:ascii="PT Astra Serif" w:hAnsi="PT Astra Serif"/>
        </w:rPr>
        <w:t>16</w:t>
      </w:r>
      <w:r w:rsidRPr="0053482E">
        <w:rPr>
          <w:rFonts w:ascii="PT Astra Serif" w:hAnsi="PT Astra Serif"/>
        </w:rPr>
        <w:t>.0</w:t>
      </w:r>
      <w:r w:rsidRPr="0053482E">
        <w:rPr>
          <w:rFonts w:ascii="PT Astra Serif" w:hAnsi="PT Astra Serif"/>
        </w:rPr>
        <w:t>9</w:t>
      </w:r>
      <w:r w:rsidRPr="0053482E">
        <w:rPr>
          <w:rFonts w:ascii="PT Astra Serif" w:hAnsi="PT Astra Serif"/>
        </w:rPr>
        <w:t xml:space="preserve">.2021), разработчиком акта проект акта и сводный отчёт были размещены с </w:t>
      </w:r>
      <w:r w:rsidRPr="0053482E">
        <w:rPr>
          <w:rFonts w:ascii="PT Astra Serif" w:hAnsi="PT Astra Serif"/>
        </w:rPr>
        <w:t>17</w:t>
      </w:r>
      <w:r w:rsidRPr="0053482E">
        <w:rPr>
          <w:rFonts w:ascii="PT Astra Serif" w:hAnsi="PT Astra Serif"/>
        </w:rPr>
        <w:t>.0</w:t>
      </w:r>
      <w:r w:rsidRPr="0053482E">
        <w:rPr>
          <w:rFonts w:ascii="PT Astra Serif" w:hAnsi="PT Astra Serif"/>
        </w:rPr>
        <w:t>9</w:t>
      </w:r>
      <w:r w:rsidRPr="0053482E">
        <w:rPr>
          <w:rFonts w:ascii="PT Astra Serif" w:hAnsi="PT Astra Serif"/>
        </w:rPr>
        <w:t xml:space="preserve">.2021 </w:t>
      </w:r>
      <w:r w:rsidRPr="0053482E">
        <w:rPr>
          <w:rFonts w:ascii="PT Astra Serif" w:hAnsi="PT Astra Serif"/>
        </w:rPr>
        <w:lastRenderedPageBreak/>
        <w:t xml:space="preserve">по </w:t>
      </w:r>
      <w:r w:rsidRPr="0053482E">
        <w:rPr>
          <w:rFonts w:ascii="PT Astra Serif" w:hAnsi="PT Astra Serif"/>
        </w:rPr>
        <w:t>01</w:t>
      </w:r>
      <w:r w:rsidRPr="0053482E">
        <w:rPr>
          <w:rFonts w:ascii="PT Astra Serif" w:hAnsi="PT Astra Serif"/>
        </w:rPr>
        <w:t>.</w:t>
      </w:r>
      <w:r w:rsidRPr="0053482E">
        <w:rPr>
          <w:rFonts w:ascii="PT Astra Serif" w:hAnsi="PT Astra Serif"/>
        </w:rPr>
        <w:t>10</w:t>
      </w:r>
      <w:r w:rsidRPr="0053482E">
        <w:rPr>
          <w:rFonts w:ascii="PT Astra Serif" w:hAnsi="PT Astra Serif"/>
        </w:rPr>
        <w:t xml:space="preserve">.2021 на специализированном ресурсе для проведения публичных обсуждений </w:t>
      </w:r>
      <w:hyperlink r:id="rId8" w:history="1">
        <w:r w:rsidRPr="0053482E">
          <w:rPr>
            <w:rStyle w:val="a3"/>
            <w:rFonts w:ascii="PT Astra Serif" w:hAnsi="PT Astra Serif"/>
          </w:rPr>
          <w:t>http://regulation.ulgov.ru</w:t>
        </w:r>
      </w:hyperlink>
      <w:r w:rsidRPr="0053482E">
        <w:rPr>
          <w:rStyle w:val="a3"/>
          <w:rFonts w:ascii="PT Astra Serif" w:hAnsi="PT Astra Serif"/>
        </w:rPr>
        <w:t>.</w:t>
      </w:r>
    </w:p>
    <w:p w:rsidR="00532365" w:rsidRPr="0053482E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482E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Pr="0053482E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53482E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Pr="0053482E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53482E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 w:rsidRPr="0053482E">
        <w:rPr>
          <w:rFonts w:ascii="PT Astra Serif" w:hAnsi="PT Astra Serif"/>
          <w:color w:val="000000"/>
        </w:rPr>
        <w:t> </w:t>
      </w:r>
      <w:r w:rsidRPr="0053482E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83933" w:rsidRPr="0053482E" w:rsidRDefault="00B83933" w:rsidP="001D700D">
      <w:pPr>
        <w:rPr>
          <w:rFonts w:ascii="PT Astra Serif" w:hAnsi="PT Astra Serif"/>
        </w:rPr>
      </w:pPr>
    </w:p>
    <w:p w:rsidR="00B83933" w:rsidRPr="0053482E" w:rsidRDefault="00B83933" w:rsidP="001D700D">
      <w:pPr>
        <w:rPr>
          <w:rFonts w:ascii="PT Astra Serif" w:hAnsi="PT Astra Serif"/>
        </w:rPr>
      </w:pPr>
    </w:p>
    <w:p w:rsidR="00FF0AAD" w:rsidRPr="0053482E" w:rsidRDefault="00FF0AAD" w:rsidP="001D700D">
      <w:pPr>
        <w:rPr>
          <w:rFonts w:ascii="PT Astra Serif" w:hAnsi="PT Astra Serif"/>
        </w:rPr>
      </w:pP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 xml:space="preserve">Заместитель начальника управления </w:t>
      </w: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 xml:space="preserve">контроля (надзора) и </w:t>
      </w:r>
      <w:proofErr w:type="gramStart"/>
      <w:r w:rsidRPr="0053482E">
        <w:rPr>
          <w:rFonts w:ascii="PT Astra Serif" w:hAnsi="PT Astra Serif"/>
          <w:color w:val="000000" w:themeColor="text1"/>
        </w:rPr>
        <w:t>регуляторной</w:t>
      </w:r>
      <w:proofErr w:type="gramEnd"/>
      <w:r w:rsidRPr="0053482E">
        <w:rPr>
          <w:rFonts w:ascii="PT Astra Serif" w:hAnsi="PT Astra Serif"/>
          <w:color w:val="000000" w:themeColor="text1"/>
        </w:rPr>
        <w:t xml:space="preserve"> </w:t>
      </w: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>политики администрации Губернатора</w:t>
      </w: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 xml:space="preserve">Ульяновской области – начальник </w:t>
      </w: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 xml:space="preserve">департамента контроля в сфере закупок                                              </w:t>
      </w:r>
      <w:proofErr w:type="spellStart"/>
      <w:r w:rsidRPr="0053482E">
        <w:rPr>
          <w:rFonts w:ascii="PT Astra Serif" w:hAnsi="PT Astra Serif"/>
          <w:color w:val="000000" w:themeColor="text1"/>
        </w:rPr>
        <w:t>О.А.Бабужин</w:t>
      </w:r>
      <w:proofErr w:type="spellEnd"/>
    </w:p>
    <w:p w:rsidR="00B83933" w:rsidRPr="0053482E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Pr="0053482E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53482E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53482E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  <w:r w:rsidRPr="0053482E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53482E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 w:rsidRPr="0053482E">
        <w:rPr>
          <w:rFonts w:ascii="PT Astra Serif" w:hAnsi="PT Astra Serif"/>
          <w:sz w:val="20"/>
          <w:szCs w:val="20"/>
        </w:rPr>
        <w:t>58-91-</w:t>
      </w:r>
      <w:r w:rsidR="004467E1" w:rsidRPr="0053482E">
        <w:rPr>
          <w:rFonts w:ascii="PT Astra Serif" w:hAnsi="PT Astra Serif"/>
          <w:sz w:val="20"/>
          <w:szCs w:val="20"/>
        </w:rPr>
        <w:t>52</w:t>
      </w:r>
    </w:p>
    <w:sectPr w:rsidR="00964242" w:rsidRPr="0053482E" w:rsidSect="00424FB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10" w:rsidRDefault="000E3410" w:rsidP="00424FB5">
      <w:r>
        <w:separator/>
      </w:r>
    </w:p>
  </w:endnote>
  <w:endnote w:type="continuationSeparator" w:id="0">
    <w:p w:rsidR="000E3410" w:rsidRDefault="000E3410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10" w:rsidRDefault="000E3410" w:rsidP="00424FB5">
      <w:r>
        <w:separator/>
      </w:r>
    </w:p>
  </w:footnote>
  <w:footnote w:type="continuationSeparator" w:id="0">
    <w:p w:rsidR="000E3410" w:rsidRDefault="000E3410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53482E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18E7"/>
    <w:rsid w:val="00025CDE"/>
    <w:rsid w:val="00032859"/>
    <w:rsid w:val="00032DEE"/>
    <w:rsid w:val="00052F97"/>
    <w:rsid w:val="000626B5"/>
    <w:rsid w:val="000655FE"/>
    <w:rsid w:val="000705F3"/>
    <w:rsid w:val="00075BD2"/>
    <w:rsid w:val="000776F9"/>
    <w:rsid w:val="000A1A59"/>
    <w:rsid w:val="000A3370"/>
    <w:rsid w:val="000A7CB5"/>
    <w:rsid w:val="000B33DF"/>
    <w:rsid w:val="000B3A69"/>
    <w:rsid w:val="000C0D01"/>
    <w:rsid w:val="000E3410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071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1E6542"/>
    <w:rsid w:val="00217A25"/>
    <w:rsid w:val="00234336"/>
    <w:rsid w:val="002447C1"/>
    <w:rsid w:val="00251B5F"/>
    <w:rsid w:val="00257389"/>
    <w:rsid w:val="002608FD"/>
    <w:rsid w:val="002644D8"/>
    <w:rsid w:val="002647EF"/>
    <w:rsid w:val="00265E36"/>
    <w:rsid w:val="00285DC9"/>
    <w:rsid w:val="00287979"/>
    <w:rsid w:val="0029018C"/>
    <w:rsid w:val="002920B4"/>
    <w:rsid w:val="0029684E"/>
    <w:rsid w:val="002B567E"/>
    <w:rsid w:val="002D67DA"/>
    <w:rsid w:val="002E3604"/>
    <w:rsid w:val="002F2F3C"/>
    <w:rsid w:val="002F4756"/>
    <w:rsid w:val="00302DBC"/>
    <w:rsid w:val="00312EB8"/>
    <w:rsid w:val="00314859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48E3"/>
    <w:rsid w:val="0038567E"/>
    <w:rsid w:val="003B2889"/>
    <w:rsid w:val="003B661B"/>
    <w:rsid w:val="003B6D7A"/>
    <w:rsid w:val="003C3768"/>
    <w:rsid w:val="003C53BF"/>
    <w:rsid w:val="003D6F00"/>
    <w:rsid w:val="003E16CA"/>
    <w:rsid w:val="003E3BD9"/>
    <w:rsid w:val="003F4F30"/>
    <w:rsid w:val="00400BB0"/>
    <w:rsid w:val="00406414"/>
    <w:rsid w:val="00424FB5"/>
    <w:rsid w:val="00434645"/>
    <w:rsid w:val="004467E1"/>
    <w:rsid w:val="00456FBE"/>
    <w:rsid w:val="00465E0F"/>
    <w:rsid w:val="0047206E"/>
    <w:rsid w:val="00480FB6"/>
    <w:rsid w:val="004856CD"/>
    <w:rsid w:val="004A5AEF"/>
    <w:rsid w:val="004C7A4C"/>
    <w:rsid w:val="004E7C00"/>
    <w:rsid w:val="00503696"/>
    <w:rsid w:val="005101DD"/>
    <w:rsid w:val="0052020A"/>
    <w:rsid w:val="005223F4"/>
    <w:rsid w:val="00523814"/>
    <w:rsid w:val="00532365"/>
    <w:rsid w:val="0053482E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A5F30"/>
    <w:rsid w:val="005B40DC"/>
    <w:rsid w:val="005C2B50"/>
    <w:rsid w:val="005C2C0D"/>
    <w:rsid w:val="005D1BD2"/>
    <w:rsid w:val="005D2012"/>
    <w:rsid w:val="005F5B60"/>
    <w:rsid w:val="005F6675"/>
    <w:rsid w:val="006019E2"/>
    <w:rsid w:val="006177E4"/>
    <w:rsid w:val="00634588"/>
    <w:rsid w:val="006350C1"/>
    <w:rsid w:val="00635967"/>
    <w:rsid w:val="00656B9F"/>
    <w:rsid w:val="0066112B"/>
    <w:rsid w:val="0066378D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19A6"/>
    <w:rsid w:val="006D26B0"/>
    <w:rsid w:val="006D768D"/>
    <w:rsid w:val="006D784C"/>
    <w:rsid w:val="007039B1"/>
    <w:rsid w:val="00721960"/>
    <w:rsid w:val="007232F1"/>
    <w:rsid w:val="00724C88"/>
    <w:rsid w:val="00725691"/>
    <w:rsid w:val="00730EBF"/>
    <w:rsid w:val="00744956"/>
    <w:rsid w:val="0075105E"/>
    <w:rsid w:val="00756646"/>
    <w:rsid w:val="00756F04"/>
    <w:rsid w:val="0076518B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55275"/>
    <w:rsid w:val="008649E4"/>
    <w:rsid w:val="008741DC"/>
    <w:rsid w:val="00885A7C"/>
    <w:rsid w:val="008867B5"/>
    <w:rsid w:val="00890E28"/>
    <w:rsid w:val="008B347A"/>
    <w:rsid w:val="008B6E08"/>
    <w:rsid w:val="008C0E90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36293"/>
    <w:rsid w:val="00936BA8"/>
    <w:rsid w:val="00950746"/>
    <w:rsid w:val="00963D0B"/>
    <w:rsid w:val="00964242"/>
    <w:rsid w:val="00966775"/>
    <w:rsid w:val="00973DAA"/>
    <w:rsid w:val="009826B6"/>
    <w:rsid w:val="00996CF1"/>
    <w:rsid w:val="009972A0"/>
    <w:rsid w:val="009978EA"/>
    <w:rsid w:val="009A7401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413A2"/>
    <w:rsid w:val="00A47DF9"/>
    <w:rsid w:val="00A57171"/>
    <w:rsid w:val="00A60C26"/>
    <w:rsid w:val="00A6261A"/>
    <w:rsid w:val="00A65823"/>
    <w:rsid w:val="00A75DDA"/>
    <w:rsid w:val="00A77890"/>
    <w:rsid w:val="00AA22BC"/>
    <w:rsid w:val="00AB632D"/>
    <w:rsid w:val="00AB731A"/>
    <w:rsid w:val="00AC71C1"/>
    <w:rsid w:val="00AE5413"/>
    <w:rsid w:val="00AE7E30"/>
    <w:rsid w:val="00AF14CB"/>
    <w:rsid w:val="00AF3811"/>
    <w:rsid w:val="00AF5133"/>
    <w:rsid w:val="00B5109A"/>
    <w:rsid w:val="00B62FCE"/>
    <w:rsid w:val="00B63785"/>
    <w:rsid w:val="00B7087D"/>
    <w:rsid w:val="00B718A5"/>
    <w:rsid w:val="00B72353"/>
    <w:rsid w:val="00B7306B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378"/>
    <w:rsid w:val="00C41A74"/>
    <w:rsid w:val="00C549E1"/>
    <w:rsid w:val="00C63F67"/>
    <w:rsid w:val="00C65C30"/>
    <w:rsid w:val="00C77847"/>
    <w:rsid w:val="00C80056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2B5D"/>
    <w:rsid w:val="00D16447"/>
    <w:rsid w:val="00D226CB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143DB"/>
    <w:rsid w:val="00E21F45"/>
    <w:rsid w:val="00E22C68"/>
    <w:rsid w:val="00E23678"/>
    <w:rsid w:val="00E26CF5"/>
    <w:rsid w:val="00E33251"/>
    <w:rsid w:val="00E33C93"/>
    <w:rsid w:val="00E418D5"/>
    <w:rsid w:val="00E57BE4"/>
    <w:rsid w:val="00E83933"/>
    <w:rsid w:val="00E87DFD"/>
    <w:rsid w:val="00E94FE6"/>
    <w:rsid w:val="00EA03DE"/>
    <w:rsid w:val="00EB64FF"/>
    <w:rsid w:val="00ED16D8"/>
    <w:rsid w:val="00EF4DF5"/>
    <w:rsid w:val="00EF7A5A"/>
    <w:rsid w:val="00F03E45"/>
    <w:rsid w:val="00F04A6F"/>
    <w:rsid w:val="00F14CC5"/>
    <w:rsid w:val="00F21596"/>
    <w:rsid w:val="00F2182B"/>
    <w:rsid w:val="00F36F35"/>
    <w:rsid w:val="00F458BB"/>
    <w:rsid w:val="00F47A2F"/>
    <w:rsid w:val="00F52CA3"/>
    <w:rsid w:val="00F62088"/>
    <w:rsid w:val="00FA7A40"/>
    <w:rsid w:val="00FB1F1F"/>
    <w:rsid w:val="00FB7C22"/>
    <w:rsid w:val="00FF0AAD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DD44-55A1-4114-8A0E-A5FBCC69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16</cp:revision>
  <cp:lastPrinted>2021-09-03T10:56:00Z</cp:lastPrinted>
  <dcterms:created xsi:type="dcterms:W3CDTF">2021-10-08T07:33:00Z</dcterms:created>
  <dcterms:modified xsi:type="dcterms:W3CDTF">2021-10-11T11:21:00Z</dcterms:modified>
</cp:coreProperties>
</file>