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E33251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E33251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52C58EC1" wp14:editId="00025630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E33251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E33251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E33251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E33251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E33251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E33251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E33251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E33251">
              <w:rPr>
                <w:rFonts w:ascii="PT Astra Serif" w:hAnsi="PT Astra Serif"/>
                <w:sz w:val="16"/>
                <w:szCs w:val="16"/>
              </w:rPr>
              <w:t>-</w:t>
            </w:r>
            <w:r w:rsidRPr="00E33251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0" w:history="1"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E33251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E33251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E33251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E33251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E33251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E33251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E3325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33251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E33251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B80342" w:rsidRDefault="00E76E8F" w:rsidP="00234372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E76E8F">
              <w:rPr>
                <w:rFonts w:ascii="PT Astra Serif" w:hAnsi="PT Astra Serif"/>
                <w:sz w:val="22"/>
                <w:szCs w:val="22"/>
              </w:rPr>
              <w:t>73-ИОГВ-18.01/2145вн</w:t>
            </w:r>
          </w:p>
        </w:tc>
        <w:tc>
          <w:tcPr>
            <w:tcW w:w="340" w:type="dxa"/>
            <w:shd w:val="clear" w:color="auto" w:fill="auto"/>
          </w:tcPr>
          <w:p w:rsidR="001865CB" w:rsidRPr="00E33251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E33251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E33251" w:rsidRDefault="00B80342" w:rsidP="00E76E8F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  <w:r w:rsidR="00234372">
              <w:rPr>
                <w:rFonts w:ascii="PT Astra Serif" w:hAnsi="PT Astra Serif"/>
                <w:sz w:val="24"/>
                <w:szCs w:val="24"/>
              </w:rPr>
              <w:t>.1</w:t>
            </w:r>
            <w:r w:rsidR="00E76E8F">
              <w:rPr>
                <w:rFonts w:ascii="PT Astra Serif" w:hAnsi="PT Astra Serif"/>
                <w:sz w:val="24"/>
                <w:szCs w:val="24"/>
              </w:rPr>
              <w:t>2</w:t>
            </w:r>
            <w:r w:rsidR="004856CD">
              <w:rPr>
                <w:rFonts w:ascii="PT Astra Serif" w:hAnsi="PT Astra Serif"/>
                <w:sz w:val="24"/>
                <w:szCs w:val="24"/>
              </w:rPr>
              <w:t>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302DBC" w:rsidRPr="00302DBC" w:rsidRDefault="00CF7396" w:rsidP="00302DBC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CF7396">
              <w:rPr>
                <w:rFonts w:ascii="PT Astra Serif" w:hAnsi="PT Astra Serif"/>
                <w:b/>
              </w:rPr>
              <w:t>Исполняющему</w:t>
            </w:r>
            <w:proofErr w:type="gramEnd"/>
            <w:r w:rsidRPr="00CF7396">
              <w:rPr>
                <w:rFonts w:ascii="PT Astra Serif" w:hAnsi="PT Astra Serif"/>
                <w:b/>
              </w:rPr>
              <w:t xml:space="preserve"> обязанности </w:t>
            </w:r>
            <w:r w:rsidR="00302DBC">
              <w:rPr>
                <w:rFonts w:ascii="PT Astra Serif" w:hAnsi="PT Astra Serif"/>
                <w:b/>
              </w:rPr>
              <w:t xml:space="preserve">руководителя </w:t>
            </w:r>
            <w:r w:rsidR="00302DBC" w:rsidRPr="00302DBC">
              <w:rPr>
                <w:rFonts w:ascii="PT Astra Serif" w:hAnsi="PT Astra Serif"/>
                <w:b/>
              </w:rPr>
              <w:t>Агентств</w:t>
            </w:r>
            <w:r w:rsidR="00302DBC">
              <w:rPr>
                <w:rFonts w:ascii="PT Astra Serif" w:hAnsi="PT Astra Serif"/>
                <w:b/>
              </w:rPr>
              <w:t>а</w:t>
            </w:r>
          </w:p>
          <w:p w:rsidR="00302DBC" w:rsidRPr="00302DBC" w:rsidRDefault="00302DBC" w:rsidP="00302DBC">
            <w:pPr>
              <w:jc w:val="center"/>
              <w:rPr>
                <w:rFonts w:ascii="PT Astra Serif" w:hAnsi="PT Astra Serif"/>
                <w:b/>
              </w:rPr>
            </w:pPr>
            <w:r w:rsidRPr="00302DBC">
              <w:rPr>
                <w:rFonts w:ascii="PT Astra Serif" w:hAnsi="PT Astra Serif"/>
                <w:b/>
              </w:rPr>
              <w:t>государственного строительного</w:t>
            </w:r>
          </w:p>
          <w:p w:rsidR="00302DBC" w:rsidRPr="00302DBC" w:rsidRDefault="00302DBC" w:rsidP="00302DBC">
            <w:pPr>
              <w:jc w:val="center"/>
              <w:rPr>
                <w:rFonts w:ascii="PT Astra Serif" w:hAnsi="PT Astra Serif"/>
                <w:b/>
              </w:rPr>
            </w:pPr>
            <w:r w:rsidRPr="00302DBC">
              <w:rPr>
                <w:rFonts w:ascii="PT Astra Serif" w:hAnsi="PT Astra Serif"/>
                <w:b/>
              </w:rPr>
              <w:t>и жилищного надзора</w:t>
            </w:r>
          </w:p>
          <w:p w:rsidR="00CF7396" w:rsidRPr="00CF7396" w:rsidRDefault="00302DBC" w:rsidP="00302DBC">
            <w:pPr>
              <w:jc w:val="center"/>
              <w:rPr>
                <w:rFonts w:ascii="PT Astra Serif" w:hAnsi="PT Astra Serif"/>
                <w:b/>
              </w:rPr>
            </w:pPr>
            <w:r w:rsidRPr="00302DBC">
              <w:rPr>
                <w:rFonts w:ascii="PT Astra Serif" w:hAnsi="PT Astra Serif"/>
                <w:b/>
              </w:rPr>
              <w:t>Ульяновской области</w:t>
            </w:r>
          </w:p>
          <w:p w:rsidR="00CF7396" w:rsidRPr="00CF7396" w:rsidRDefault="00CF7396" w:rsidP="00CF7396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E33251" w:rsidRDefault="00234372" w:rsidP="00302DBC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>
              <w:rPr>
                <w:rFonts w:ascii="PT Astra Serif" w:hAnsi="PT Astra Serif"/>
                <w:b/>
              </w:rPr>
              <w:t>Симуновой</w:t>
            </w:r>
            <w:proofErr w:type="spellEnd"/>
            <w:r>
              <w:rPr>
                <w:rFonts w:ascii="PT Astra Serif" w:hAnsi="PT Astra Serif"/>
                <w:b/>
              </w:rPr>
              <w:t xml:space="preserve"> М.В.</w:t>
            </w:r>
          </w:p>
        </w:tc>
      </w:tr>
      <w:tr w:rsidR="001865CB" w:rsidRPr="00E33251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E33251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3325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33251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E33251" w:rsidRDefault="00964242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E33251" w:rsidRDefault="00964242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Pr="00E33251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E22C68" w:rsidRPr="00E33251" w:rsidRDefault="00E22C68" w:rsidP="00C83777">
      <w:pPr>
        <w:suppressAutoHyphens/>
        <w:jc w:val="center"/>
        <w:rPr>
          <w:rFonts w:ascii="PT Astra Serif" w:eastAsia="Calibri" w:hAnsi="PT Astra Serif" w:cs="Calibri"/>
          <w:b/>
        </w:rPr>
      </w:pPr>
    </w:p>
    <w:p w:rsidR="00342F5E" w:rsidRPr="00E33251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E33251">
        <w:rPr>
          <w:rFonts w:ascii="PT Astra Serif" w:eastAsia="Calibri" w:hAnsi="PT Astra Serif" w:cs="Calibri"/>
          <w:b/>
        </w:rPr>
        <w:t>Уважаем</w:t>
      </w:r>
      <w:r w:rsidR="00234372">
        <w:rPr>
          <w:rFonts w:ascii="PT Astra Serif" w:eastAsia="Calibri" w:hAnsi="PT Astra Serif" w:cs="Calibri"/>
          <w:b/>
        </w:rPr>
        <w:t>ая</w:t>
      </w:r>
      <w:r w:rsidR="00E22C68" w:rsidRPr="00E33251">
        <w:rPr>
          <w:rFonts w:ascii="PT Astra Serif" w:eastAsia="Calibri" w:hAnsi="PT Astra Serif" w:cs="Calibri"/>
          <w:b/>
        </w:rPr>
        <w:t xml:space="preserve"> </w:t>
      </w:r>
      <w:r w:rsidR="00234372">
        <w:rPr>
          <w:rFonts w:ascii="PT Astra Serif" w:eastAsia="Calibri" w:hAnsi="PT Astra Serif" w:cs="Calibri"/>
          <w:b/>
        </w:rPr>
        <w:t>Марина Ва</w:t>
      </w:r>
      <w:r w:rsidR="00302DBC">
        <w:rPr>
          <w:rFonts w:ascii="PT Astra Serif" w:hAnsi="PT Astra Serif"/>
          <w:b/>
          <w:color w:val="000000" w:themeColor="text1"/>
        </w:rPr>
        <w:t>лерьев</w:t>
      </w:r>
      <w:r w:rsidR="00234372">
        <w:rPr>
          <w:rFonts w:ascii="PT Astra Serif" w:hAnsi="PT Astra Serif"/>
          <w:b/>
          <w:color w:val="000000" w:themeColor="text1"/>
        </w:rPr>
        <w:t>на</w:t>
      </w:r>
      <w:r w:rsidR="00342F5E" w:rsidRPr="00E33251">
        <w:rPr>
          <w:rFonts w:ascii="PT Astra Serif" w:eastAsia="PT Astra Serif" w:hAnsi="PT Astra Serif" w:cs="PT Astra Serif"/>
          <w:b/>
        </w:rPr>
        <w:t>!</w:t>
      </w:r>
    </w:p>
    <w:p w:rsidR="005C2B50" w:rsidRPr="00E33251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E33251" w:rsidRDefault="005C2B50" w:rsidP="00CC52A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E33251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E33251">
        <w:rPr>
          <w:rFonts w:ascii="PT Astra Serif" w:hAnsi="PT Astra Serif"/>
        </w:rPr>
        <w:t xml:space="preserve">по результатам рассмотрения проекта </w:t>
      </w:r>
      <w:r w:rsidR="00CC52A7">
        <w:rPr>
          <w:rFonts w:ascii="PT Astra Serif" w:hAnsi="PT Astra Serif"/>
        </w:rPr>
        <w:t xml:space="preserve">приказа </w:t>
      </w:r>
      <w:r w:rsidR="00CC52A7" w:rsidRPr="00CC52A7">
        <w:rPr>
          <w:rFonts w:ascii="PT Astra Serif" w:hAnsi="PT Astra Serif"/>
        </w:rPr>
        <w:t>Агентства</w:t>
      </w:r>
      <w:r w:rsidR="00CC52A7">
        <w:rPr>
          <w:rFonts w:ascii="PT Astra Serif" w:hAnsi="PT Astra Serif"/>
        </w:rPr>
        <w:t xml:space="preserve"> </w:t>
      </w:r>
      <w:r w:rsidR="00CC52A7" w:rsidRPr="00CC52A7">
        <w:rPr>
          <w:rFonts w:ascii="PT Astra Serif" w:hAnsi="PT Astra Serif"/>
        </w:rPr>
        <w:t>государственного строительного</w:t>
      </w:r>
      <w:r w:rsidR="00CC52A7">
        <w:rPr>
          <w:rFonts w:ascii="PT Astra Serif" w:hAnsi="PT Astra Serif"/>
        </w:rPr>
        <w:t xml:space="preserve"> </w:t>
      </w:r>
      <w:r w:rsidR="00CC52A7" w:rsidRPr="00CC52A7">
        <w:rPr>
          <w:rFonts w:ascii="PT Astra Serif" w:hAnsi="PT Astra Serif"/>
        </w:rPr>
        <w:t>и жилищного надзора</w:t>
      </w:r>
      <w:r w:rsidR="00CC52A7">
        <w:rPr>
          <w:rFonts w:ascii="PT Astra Serif" w:hAnsi="PT Astra Serif"/>
        </w:rPr>
        <w:t xml:space="preserve"> </w:t>
      </w:r>
      <w:r w:rsidR="00CC52A7" w:rsidRPr="00CC52A7">
        <w:rPr>
          <w:rFonts w:ascii="PT Astra Serif" w:hAnsi="PT Astra Serif"/>
        </w:rPr>
        <w:t>Ульяновской области</w:t>
      </w:r>
      <w:r w:rsidR="00964242" w:rsidRPr="00E33251">
        <w:rPr>
          <w:rFonts w:ascii="PT Astra Serif" w:hAnsi="PT Astra Serif"/>
        </w:rPr>
        <w:t xml:space="preserve"> «</w:t>
      </w:r>
      <w:r w:rsidR="00CC52A7" w:rsidRPr="00CC52A7">
        <w:rPr>
          <w:rFonts w:ascii="PT Astra Serif" w:hAnsi="PT Astra Serif"/>
        </w:rPr>
        <w:t>Об утверждении индикаторов риска нарушения обязательных требований, используемых в качестве основания для проведения внеплановых проверок при осуществлении регионального государственного жилищного контроля (надзора) на территории Ульяновской области</w:t>
      </w:r>
      <w:r w:rsidR="00964242" w:rsidRPr="00E33251">
        <w:rPr>
          <w:rFonts w:ascii="PT Astra Serif" w:hAnsi="PT Astra Serif"/>
        </w:rPr>
        <w:t>»</w:t>
      </w:r>
      <w:r w:rsidRPr="00E33251">
        <w:rPr>
          <w:rFonts w:ascii="PT Astra Serif" w:hAnsi="PT Astra Serif"/>
        </w:rPr>
        <w:t xml:space="preserve"> </w:t>
      </w:r>
      <w:r w:rsidR="00964242" w:rsidRPr="00E33251">
        <w:rPr>
          <w:rFonts w:ascii="PT Astra Serif" w:hAnsi="PT Astra Serif"/>
        </w:rPr>
        <w:t>направляет</w:t>
      </w:r>
      <w:r w:rsidRPr="00E33251">
        <w:rPr>
          <w:rFonts w:ascii="PT Astra Serif" w:hAnsi="PT Astra Serif"/>
        </w:rPr>
        <w:t xml:space="preserve"> следующее заключение.</w:t>
      </w:r>
      <w:proofErr w:type="gramEnd"/>
    </w:p>
    <w:p w:rsidR="00E23678" w:rsidRPr="00E33251" w:rsidRDefault="00E23678" w:rsidP="00964242">
      <w:pPr>
        <w:jc w:val="center"/>
        <w:rPr>
          <w:rFonts w:ascii="PT Astra Serif" w:hAnsi="PT Astra Serif"/>
          <w:b/>
        </w:rPr>
      </w:pPr>
    </w:p>
    <w:p w:rsidR="00964242" w:rsidRPr="00E33251" w:rsidRDefault="00964242" w:rsidP="00964242">
      <w:pPr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Заключение</w:t>
      </w:r>
    </w:p>
    <w:p w:rsidR="00964242" w:rsidRPr="00E33251" w:rsidRDefault="00964242" w:rsidP="00F47A2F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 xml:space="preserve">об оценке регулирующего воздействия </w:t>
      </w:r>
      <w:r w:rsidR="00CC52A7" w:rsidRPr="00CC52A7">
        <w:rPr>
          <w:rFonts w:ascii="PT Astra Serif" w:hAnsi="PT Astra Serif"/>
          <w:b/>
        </w:rPr>
        <w:t>проекта приказа Агентства государственного строительного и жилищного надзора Ульяновской области «Об утверждении индикаторов риска нарушения обязательных требований, используемых в качестве основания для проведения внеплановых проверок при осуществлении регионального государственного жилищного контроля (надзора) на территории Ульяновской области</w:t>
      </w:r>
      <w:r w:rsidR="00032859" w:rsidRPr="00032859">
        <w:rPr>
          <w:rFonts w:ascii="PT Astra Serif" w:hAnsi="PT Astra Serif"/>
          <w:b/>
        </w:rPr>
        <w:t>»</w:t>
      </w:r>
    </w:p>
    <w:p w:rsidR="00E23678" w:rsidRPr="00E33251" w:rsidRDefault="00E23678" w:rsidP="00DA537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DA5377" w:rsidRPr="00E33251" w:rsidRDefault="00DA5377" w:rsidP="00E26CF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E33251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</w:t>
      </w:r>
      <w:r w:rsidR="00234372">
        <w:rPr>
          <w:rFonts w:ascii="PT Astra Serif" w:hAnsi="PT Astra Serif"/>
        </w:rPr>
        <w:t xml:space="preserve">вовых актов Ульяновской </w:t>
      </w:r>
      <w:r w:rsidR="00234372">
        <w:rPr>
          <w:rFonts w:ascii="PT Astra Serif" w:hAnsi="PT Astra Serif"/>
        </w:rPr>
        <w:lastRenderedPageBreak/>
        <w:t>области</w:t>
      </w:r>
      <w:r w:rsidRPr="00E33251">
        <w:rPr>
          <w:rFonts w:ascii="PT Astra Serif" w:hAnsi="PT Astra Serif"/>
        </w:rPr>
        <w:t>», пунктом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>4.2 раздела 4 Положения о</w:t>
      </w:r>
      <w:r w:rsidR="009F6198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 xml:space="preserve">Положения об управлении контроля (надзора) и регуляторной политики администрации Губернатора Ульяновской области» проект </w:t>
      </w:r>
      <w:r w:rsidR="00CC52A7" w:rsidRPr="00CC52A7">
        <w:rPr>
          <w:rFonts w:ascii="PT Astra Serif" w:hAnsi="PT Astra Serif"/>
        </w:rPr>
        <w:t>приказа Агентства государственного строительного и жилищного надзора Ульяновской области «Об утверждении индикаторов риска нарушения обязательных требований, используемых в качестве основания для проведения внеплановых проверок при осуществлении регионального государственного жилищного контроля (надзора) на территории Ульяновской области</w:t>
      </w:r>
      <w:r w:rsidR="00032859" w:rsidRPr="00032859">
        <w:rPr>
          <w:rFonts w:ascii="PT Astra Serif" w:hAnsi="PT Astra Serif"/>
        </w:rPr>
        <w:t>»</w:t>
      </w:r>
      <w:r w:rsidRPr="00E33251">
        <w:rPr>
          <w:rFonts w:ascii="PT Astra Serif" w:hAnsi="PT Astra Serif"/>
        </w:rPr>
        <w:t xml:space="preserve"> (далее – проект акта), подготовленный и направленный для подготовки настоящего заключения </w:t>
      </w:r>
      <w:r w:rsidR="00E26CF5">
        <w:rPr>
          <w:rFonts w:ascii="PT Astra Serif" w:hAnsi="PT Astra Serif"/>
        </w:rPr>
        <w:t xml:space="preserve">Агентством </w:t>
      </w:r>
      <w:r w:rsidR="00E26CF5" w:rsidRPr="00E26CF5">
        <w:rPr>
          <w:rFonts w:ascii="PT Astra Serif" w:hAnsi="PT Astra Serif"/>
        </w:rPr>
        <w:t>государственного</w:t>
      </w:r>
      <w:proofErr w:type="gramEnd"/>
      <w:r w:rsidR="00E26CF5" w:rsidRPr="00E26CF5">
        <w:rPr>
          <w:rFonts w:ascii="PT Astra Serif" w:hAnsi="PT Astra Serif"/>
        </w:rPr>
        <w:t xml:space="preserve"> строительного</w:t>
      </w:r>
      <w:r w:rsidR="00E26CF5">
        <w:rPr>
          <w:rFonts w:ascii="PT Astra Serif" w:hAnsi="PT Astra Serif"/>
        </w:rPr>
        <w:t xml:space="preserve"> </w:t>
      </w:r>
      <w:r w:rsidR="00E26CF5" w:rsidRPr="00E26CF5">
        <w:rPr>
          <w:rFonts w:ascii="PT Astra Serif" w:hAnsi="PT Astra Serif"/>
        </w:rPr>
        <w:t>и жилищного надзора</w:t>
      </w:r>
      <w:r w:rsidR="00E26CF5">
        <w:rPr>
          <w:rFonts w:ascii="PT Astra Serif" w:hAnsi="PT Astra Serif"/>
        </w:rPr>
        <w:t xml:space="preserve"> </w:t>
      </w:r>
      <w:r w:rsidR="00E26CF5" w:rsidRPr="00E26CF5">
        <w:rPr>
          <w:rFonts w:ascii="PT Astra Serif" w:hAnsi="PT Astra Serif"/>
        </w:rPr>
        <w:t>Ульяновской области</w:t>
      </w:r>
      <w:r w:rsidR="00CF7396" w:rsidRPr="00CF7396">
        <w:rPr>
          <w:rFonts w:ascii="PT Astra Serif" w:hAnsi="PT Astra Serif"/>
        </w:rPr>
        <w:t xml:space="preserve"> </w:t>
      </w:r>
      <w:r w:rsidRPr="00E33251">
        <w:rPr>
          <w:rFonts w:ascii="PT Astra Serif" w:hAnsi="PT Astra Serif"/>
        </w:rPr>
        <w:t>(далее – разработчик акта), Правительство Ульяновской области сообщает следующее.</w:t>
      </w:r>
    </w:p>
    <w:p w:rsidR="00DA5377" w:rsidRPr="00E33251" w:rsidRDefault="00DA5377" w:rsidP="00DA5377">
      <w:pPr>
        <w:ind w:firstLine="708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E26CF5" w:rsidRDefault="00DA5377" w:rsidP="00DA5377">
      <w:pPr>
        <w:ind w:firstLine="720"/>
        <w:jc w:val="both"/>
        <w:rPr>
          <w:rFonts w:ascii="PT Astra Serif" w:hAnsi="PT Astra Serif" w:cs="PT Astra Serif"/>
        </w:rPr>
      </w:pPr>
      <w:r w:rsidRPr="00E33251">
        <w:rPr>
          <w:rFonts w:ascii="PT Astra Serif" w:hAnsi="PT Astra Serif"/>
        </w:rPr>
        <w:t xml:space="preserve">Проект акта разработан в </w:t>
      </w:r>
      <w:r w:rsidR="009F6198" w:rsidRPr="00E33251">
        <w:rPr>
          <w:rFonts w:ascii="PT Astra Serif" w:hAnsi="PT Astra Serif"/>
        </w:rPr>
        <w:t xml:space="preserve">соответствии </w:t>
      </w:r>
      <w:r w:rsidR="00A65823">
        <w:rPr>
          <w:rFonts w:ascii="PT Astra Serif" w:hAnsi="PT Astra Serif" w:cs="PT Astra Serif"/>
        </w:rPr>
        <w:t xml:space="preserve">с </w:t>
      </w:r>
      <w:r w:rsidR="00C469A4" w:rsidRPr="00C469A4">
        <w:rPr>
          <w:rFonts w:ascii="PT Astra Serif" w:hAnsi="PT Astra Serif" w:cs="PT Astra Serif"/>
        </w:rPr>
        <w:t>частью 13 статьи 20 Жилищного кодекса Российской Федерации, частью 9 статьи 23 Федерального закона от 31.07.2020</w:t>
      </w:r>
      <w:r w:rsidR="00C469A4">
        <w:rPr>
          <w:rFonts w:ascii="PT Astra Serif" w:hAnsi="PT Astra Serif" w:cs="PT Astra Serif"/>
        </w:rPr>
        <w:t xml:space="preserve"> </w:t>
      </w:r>
      <w:r w:rsidR="008867B5" w:rsidRPr="008867B5">
        <w:rPr>
          <w:rFonts w:ascii="PT Astra Serif" w:hAnsi="PT Astra Serif" w:cs="PT Astra Serif"/>
        </w:rPr>
        <w:t>№ 248</w:t>
      </w:r>
      <w:r w:rsidR="005D2012">
        <w:rPr>
          <w:rFonts w:ascii="PT Astra Serif" w:hAnsi="PT Astra Serif" w:cs="PT Astra Serif"/>
        </w:rPr>
        <w:t>-ФЗ</w:t>
      </w:r>
      <w:r w:rsidR="008867B5" w:rsidRPr="008867B5">
        <w:rPr>
          <w:rFonts w:ascii="PT Astra Serif" w:hAnsi="PT Astra Serif" w:cs="PT Astra Serif"/>
        </w:rPr>
        <w:t xml:space="preserve"> «О государственном контроле (надзоре) и муниципальном контроле в Российской Федерации»</w:t>
      </w:r>
      <w:r w:rsidR="00560C7C">
        <w:rPr>
          <w:rFonts w:ascii="PT Astra Serif" w:hAnsi="PT Astra Serif" w:cs="PT Astra Serif"/>
        </w:rPr>
        <w:t>.</w:t>
      </w:r>
    </w:p>
    <w:p w:rsidR="00366485" w:rsidRDefault="008867B5" w:rsidP="00C469A4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Проект</w:t>
      </w:r>
      <w:r w:rsidR="00C469A4">
        <w:rPr>
          <w:rFonts w:ascii="PT Astra Serif" w:hAnsi="PT Astra Serif"/>
        </w:rPr>
        <w:t>ом</w:t>
      </w:r>
      <w:r w:rsidR="00DA5377" w:rsidRPr="00E33251">
        <w:rPr>
          <w:rFonts w:ascii="PT Astra Serif" w:hAnsi="PT Astra Serif"/>
        </w:rPr>
        <w:t xml:space="preserve"> акта </w:t>
      </w:r>
      <w:r w:rsidRPr="008867B5">
        <w:rPr>
          <w:rFonts w:ascii="PT Astra Serif" w:hAnsi="PT Astra Serif"/>
        </w:rPr>
        <w:t>устанавлива</w:t>
      </w:r>
      <w:r w:rsidR="00C469A4">
        <w:rPr>
          <w:rFonts w:ascii="PT Astra Serif" w:hAnsi="PT Astra Serif"/>
        </w:rPr>
        <w:t>ю</w:t>
      </w:r>
      <w:r w:rsidRPr="008867B5">
        <w:rPr>
          <w:rFonts w:ascii="PT Astra Serif" w:hAnsi="PT Astra Serif"/>
        </w:rPr>
        <w:t>т</w:t>
      </w:r>
      <w:r w:rsidR="00C469A4">
        <w:rPr>
          <w:rFonts w:ascii="PT Astra Serif" w:hAnsi="PT Astra Serif"/>
        </w:rPr>
        <w:t>ся</w:t>
      </w:r>
      <w:r w:rsidR="00366485" w:rsidRPr="00366485">
        <w:rPr>
          <w:rFonts w:ascii="PT Astra Serif" w:hAnsi="PT Astra Serif"/>
        </w:rPr>
        <w:t xml:space="preserve"> </w:t>
      </w:r>
      <w:r w:rsidR="00AB54C9">
        <w:rPr>
          <w:rFonts w:ascii="PT Astra Serif" w:hAnsi="PT Astra Serif"/>
        </w:rPr>
        <w:t>и</w:t>
      </w:r>
      <w:r w:rsidR="00C469A4" w:rsidRPr="00C469A4">
        <w:rPr>
          <w:rFonts w:ascii="PT Astra Serif" w:hAnsi="PT Astra Serif"/>
        </w:rPr>
        <w:t>ндикаторы риска нарушения обязательных требований, используемые в качестве основания для проведения внепланового контрольного (надзорного) мероприятия при осуществлении регионального государственного жилищного контроля (надзора) на территории Ульяновской области</w:t>
      </w:r>
      <w:r w:rsidR="00C469A4">
        <w:rPr>
          <w:rFonts w:ascii="PT Astra Serif" w:hAnsi="PT Astra Serif"/>
        </w:rPr>
        <w:t>.</w:t>
      </w:r>
    </w:p>
    <w:p w:rsidR="00AF14CB" w:rsidRDefault="00C469A4" w:rsidP="00AF14CB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Приказ</w:t>
      </w:r>
      <w:r w:rsidR="00AF14CB" w:rsidRPr="00AF14CB">
        <w:rPr>
          <w:rFonts w:ascii="PT Astra Serif" w:hAnsi="PT Astra Serif"/>
        </w:rPr>
        <w:t xml:space="preserve"> вступает в силу </w:t>
      </w:r>
      <w:r>
        <w:rPr>
          <w:rFonts w:ascii="PT Astra Serif" w:hAnsi="PT Astra Serif"/>
        </w:rPr>
        <w:t>с 30 декабря 2021 года.</w:t>
      </w:r>
    </w:p>
    <w:p w:rsidR="00AF14CB" w:rsidRDefault="00AF14CB" w:rsidP="00AF14CB">
      <w:pPr>
        <w:ind w:firstLine="720"/>
        <w:jc w:val="both"/>
        <w:rPr>
          <w:rFonts w:ascii="PT Astra Serif" w:hAnsi="PT Astra Serif"/>
        </w:rPr>
      </w:pPr>
      <w:r w:rsidRPr="00AF14CB">
        <w:rPr>
          <w:rFonts w:ascii="PT Astra Serif" w:hAnsi="PT Astra Serif"/>
        </w:rPr>
        <w:t xml:space="preserve">В целом принятие проекта акта направлено на формирование правовой основы для осуществления </w:t>
      </w:r>
      <w:r w:rsidR="00C469A4" w:rsidRPr="00C469A4">
        <w:rPr>
          <w:rFonts w:ascii="PT Astra Serif" w:hAnsi="PT Astra Serif"/>
        </w:rPr>
        <w:t xml:space="preserve">регионального государственного жилищного контроля (надзора) на территории Ульяновской области </w:t>
      </w:r>
      <w:r w:rsidRPr="00AF14CB">
        <w:rPr>
          <w:rFonts w:ascii="PT Astra Serif" w:hAnsi="PT Astra Serif"/>
        </w:rPr>
        <w:t xml:space="preserve">в соответствии с </w:t>
      </w:r>
      <w:r>
        <w:rPr>
          <w:rFonts w:ascii="PT Astra Serif" w:hAnsi="PT Astra Serif"/>
        </w:rPr>
        <w:t xml:space="preserve">нормами </w:t>
      </w:r>
      <w:r w:rsidRPr="00AF14CB">
        <w:rPr>
          <w:rFonts w:ascii="PT Astra Serif" w:hAnsi="PT Astra Serif"/>
        </w:rPr>
        <w:t>федеральн</w:t>
      </w:r>
      <w:r>
        <w:rPr>
          <w:rFonts w:ascii="PT Astra Serif" w:hAnsi="PT Astra Serif"/>
        </w:rPr>
        <w:t>ого</w:t>
      </w:r>
      <w:r w:rsidRPr="00AF14CB">
        <w:rPr>
          <w:rFonts w:ascii="PT Astra Serif" w:hAnsi="PT Astra Serif"/>
        </w:rPr>
        <w:t xml:space="preserve"> законодательств</w:t>
      </w:r>
      <w:r>
        <w:rPr>
          <w:rFonts w:ascii="PT Astra Serif" w:hAnsi="PT Astra Serif"/>
        </w:rPr>
        <w:t>а</w:t>
      </w:r>
      <w:r w:rsidRPr="00AF14CB">
        <w:rPr>
          <w:rFonts w:ascii="PT Astra Serif" w:hAnsi="PT Astra Serif"/>
        </w:rPr>
        <w:t>.</w:t>
      </w:r>
    </w:p>
    <w:p w:rsidR="00DA5377" w:rsidRPr="00E33251" w:rsidRDefault="00DA5377" w:rsidP="00DA5377">
      <w:pPr>
        <w:ind w:firstLine="720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</w:t>
      </w:r>
      <w:r w:rsidR="00E23678" w:rsidRPr="00E33251">
        <w:rPr>
          <w:rFonts w:ascii="PT Astra Serif" w:hAnsi="PT Astra Serif"/>
          <w:b/>
        </w:rPr>
        <w:t> </w:t>
      </w:r>
      <w:r w:rsidRPr="00E33251">
        <w:rPr>
          <w:rFonts w:ascii="PT Astra Serif" w:hAnsi="PT Astra Serif"/>
          <w:b/>
        </w:rPr>
        <w:t>связи с наличием рассматриваемой проблемы.</w:t>
      </w:r>
    </w:p>
    <w:p w:rsidR="003F3EF4" w:rsidRDefault="003F3EF4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Частью 13</w:t>
      </w:r>
      <w:r w:rsidR="00D801AC">
        <w:rPr>
          <w:rFonts w:ascii="PT Astra Serif" w:hAnsi="PT Astra Serif"/>
        </w:rPr>
        <w:t xml:space="preserve"> статьи </w:t>
      </w:r>
      <w:r>
        <w:rPr>
          <w:rFonts w:ascii="PT Astra Serif" w:hAnsi="PT Astra Serif"/>
        </w:rPr>
        <w:t>20 Жилищного кодекса Российской Федерации предусмотрено, что д</w:t>
      </w:r>
      <w:r w:rsidRPr="003F3EF4">
        <w:rPr>
          <w:rFonts w:ascii="PT Astra Serif" w:hAnsi="PT Astra Serif"/>
        </w:rPr>
        <w:t xml:space="preserve">ля проведения контрольных (надзорных) мероприятий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</w:t>
      </w:r>
      <w:r>
        <w:rPr>
          <w:rFonts w:ascii="PT Astra Serif" w:hAnsi="PT Astra Serif"/>
        </w:rPr>
        <w:t>«</w:t>
      </w:r>
      <w:r w:rsidRPr="003F3EF4">
        <w:rPr>
          <w:rFonts w:ascii="PT Astra Serif" w:hAnsi="PT Astra Serif"/>
        </w:rPr>
        <w:t>Интернет</w:t>
      </w:r>
      <w:r>
        <w:rPr>
          <w:rFonts w:ascii="PT Astra Serif" w:hAnsi="PT Astra Serif"/>
        </w:rPr>
        <w:t>»</w:t>
      </w:r>
      <w:r w:rsidRPr="003F3EF4">
        <w:rPr>
          <w:rFonts w:ascii="PT Astra Serif" w:hAnsi="PT Astra Serif"/>
        </w:rPr>
        <w:t xml:space="preserve">, государственных информационных систем о возможных нарушениях обязательных требований органы государственного жилищного </w:t>
      </w:r>
      <w:r w:rsidRPr="003F3EF4">
        <w:rPr>
          <w:rFonts w:ascii="PT Astra Serif" w:hAnsi="PT Astra Serif"/>
        </w:rPr>
        <w:lastRenderedPageBreak/>
        <w:t>надзора, органы муниципального контроля разрабатывают и утверждают индикаторы риска нарушения обязательных требований.</w:t>
      </w:r>
      <w:r>
        <w:rPr>
          <w:rFonts w:ascii="PT Astra Serif" w:hAnsi="PT Astra Serif"/>
        </w:rPr>
        <w:t xml:space="preserve"> </w:t>
      </w:r>
      <w:proofErr w:type="gramEnd"/>
      <w:r>
        <w:rPr>
          <w:rFonts w:ascii="PT Astra Serif" w:hAnsi="PT Astra Serif"/>
        </w:rPr>
        <w:t>При этом т</w:t>
      </w:r>
      <w:r w:rsidRPr="003F3EF4">
        <w:rPr>
          <w:rFonts w:ascii="PT Astra Serif" w:hAnsi="PT Astra Serif"/>
        </w:rPr>
        <w:t>иповые индикаторы риска нарушения обязательных требований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3F3EF4" w:rsidRDefault="003F3EF4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Вместе с тем частью 9 статьи 23 </w:t>
      </w:r>
      <w:r w:rsidR="00D801AC" w:rsidRPr="00D801AC">
        <w:rPr>
          <w:rFonts w:ascii="PT Astra Serif" w:hAnsi="PT Astra Serif"/>
        </w:rPr>
        <w:t>Федеральн</w:t>
      </w:r>
      <w:r w:rsidR="00D801AC">
        <w:rPr>
          <w:rFonts w:ascii="PT Astra Serif" w:hAnsi="PT Astra Serif"/>
        </w:rPr>
        <w:t>ого</w:t>
      </w:r>
      <w:r w:rsidR="00D801AC" w:rsidRPr="00D801AC">
        <w:rPr>
          <w:rFonts w:ascii="PT Astra Serif" w:hAnsi="PT Astra Serif"/>
        </w:rPr>
        <w:t xml:space="preserve"> закон</w:t>
      </w:r>
      <w:r w:rsidR="00D801AC">
        <w:rPr>
          <w:rFonts w:ascii="PT Astra Serif" w:hAnsi="PT Astra Serif"/>
        </w:rPr>
        <w:t>а</w:t>
      </w:r>
      <w:r w:rsidR="005D2012">
        <w:rPr>
          <w:rFonts w:ascii="PT Astra Serif" w:hAnsi="PT Astra Serif"/>
        </w:rPr>
        <w:t xml:space="preserve"> от 31</w:t>
      </w:r>
      <w:r>
        <w:rPr>
          <w:rFonts w:ascii="PT Astra Serif" w:hAnsi="PT Astra Serif"/>
        </w:rPr>
        <w:t>.07.</w:t>
      </w:r>
      <w:r w:rsidR="00D801AC" w:rsidRPr="00D801AC">
        <w:rPr>
          <w:rFonts w:ascii="PT Astra Serif" w:hAnsi="PT Astra Serif"/>
        </w:rPr>
        <w:t xml:space="preserve">2020 </w:t>
      </w:r>
      <w:r>
        <w:rPr>
          <w:rFonts w:ascii="PT Astra Serif" w:hAnsi="PT Astra Serif"/>
        </w:rPr>
        <w:br/>
      </w:r>
      <w:r w:rsidR="00D801AC" w:rsidRPr="00D801AC">
        <w:rPr>
          <w:rFonts w:ascii="PT Astra Serif" w:hAnsi="PT Astra Serif"/>
        </w:rPr>
        <w:t>№ 248</w:t>
      </w:r>
      <w:r w:rsidR="005D2012">
        <w:rPr>
          <w:rFonts w:ascii="PT Astra Serif" w:hAnsi="PT Astra Serif"/>
        </w:rPr>
        <w:t>-ФЗ</w:t>
      </w:r>
      <w:r w:rsidR="00D801AC" w:rsidRPr="00D801AC">
        <w:rPr>
          <w:rFonts w:ascii="PT Astra Serif" w:hAnsi="PT Astra Serif"/>
        </w:rPr>
        <w:t xml:space="preserve"> «О государственном контроле (надзоре) и муниципальном контроле в Российской Федерации»</w:t>
      </w:r>
      <w:r w:rsidR="00D801AC">
        <w:rPr>
          <w:rFonts w:ascii="PT Astra Serif" w:hAnsi="PT Astra Serif"/>
        </w:rPr>
        <w:t xml:space="preserve"> предусмотрено, что </w:t>
      </w:r>
      <w:r>
        <w:rPr>
          <w:rFonts w:ascii="PT Astra Serif" w:hAnsi="PT Astra Serif"/>
        </w:rPr>
        <w:t>в</w:t>
      </w:r>
      <w:r w:rsidRPr="003F3EF4">
        <w:rPr>
          <w:rFonts w:ascii="PT Astra Serif" w:hAnsi="PT Astra Serif"/>
        </w:rPr>
        <w:t xml:space="preserve"> целях оценки риска причинения вреда (ущерба) при принятии решения о проведении и выборе вида внепланового контрольного (надзорного) мероприятия контрольный (надзорный) орган разрабатывает индикаторы риска нарушения обязательных требований.</w:t>
      </w:r>
      <w:proofErr w:type="gramEnd"/>
      <w:r w:rsidRPr="003F3EF4">
        <w:rPr>
          <w:rFonts w:ascii="PT Astra Serif" w:hAnsi="PT Astra Serif"/>
        </w:rPr>
        <w:t xml:space="preserve">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371E60" w:rsidRDefault="00371E60" w:rsidP="00371E60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настоящее время </w:t>
      </w:r>
      <w:r w:rsidR="00AB54C9">
        <w:rPr>
          <w:rFonts w:ascii="PT Astra Serif" w:hAnsi="PT Astra Serif"/>
        </w:rPr>
        <w:t>и</w:t>
      </w:r>
      <w:r w:rsidR="003F3EF4" w:rsidRPr="003F3EF4">
        <w:rPr>
          <w:rFonts w:ascii="PT Astra Serif" w:hAnsi="PT Astra Serif"/>
        </w:rPr>
        <w:t>ндикаторы риска нарушения обязательных требований, используемые в качестве основания для проведения внепланового контрольного (надзорного) мероприятия при осуществлении регионального государственного жилищного контроля (надзора) на территории Ульяновской области</w:t>
      </w:r>
      <w:r w:rsidR="003655B6" w:rsidRPr="003655B6">
        <w:rPr>
          <w:rFonts w:ascii="PT Astra Serif" w:hAnsi="PT Astra Serif"/>
        </w:rPr>
        <w:t xml:space="preserve"> </w:t>
      </w:r>
      <w:r w:rsidR="00AF6627">
        <w:rPr>
          <w:rFonts w:ascii="PT Astra Serif" w:hAnsi="PT Astra Serif"/>
        </w:rPr>
        <w:t>не утверждены</w:t>
      </w:r>
      <w:bookmarkStart w:id="0" w:name="_GoBack"/>
      <w:bookmarkEnd w:id="0"/>
      <w:r>
        <w:rPr>
          <w:rFonts w:ascii="PT Astra Serif" w:hAnsi="PT Astra Serif"/>
        </w:rPr>
        <w:t xml:space="preserve">. Тем самым возникает ситуация правовой неопределённости в сфере осуществления </w:t>
      </w:r>
      <w:r w:rsidR="003F3EF4" w:rsidRPr="003F3EF4">
        <w:rPr>
          <w:rFonts w:ascii="PT Astra Serif" w:hAnsi="PT Astra Serif"/>
        </w:rPr>
        <w:t>регионального государственного жилищного контроля (надзора)</w:t>
      </w:r>
      <w:r>
        <w:rPr>
          <w:rFonts w:ascii="PT Astra Serif" w:hAnsi="PT Astra Serif"/>
        </w:rPr>
        <w:t>.</w:t>
      </w:r>
    </w:p>
    <w:p w:rsidR="003B2889" w:rsidRPr="003B2889" w:rsidRDefault="003B2889" w:rsidP="003B288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3B2889">
        <w:rPr>
          <w:rFonts w:ascii="PT Astra Serif" w:hAnsi="PT Astra Serif"/>
        </w:rPr>
        <w:t xml:space="preserve">Таким образом, принятие проекта акта направлено на решение проблемы устранения ситуации правовой неопределённости при осуществлении </w:t>
      </w:r>
      <w:r w:rsidR="003F3EF4" w:rsidRPr="003F3EF4">
        <w:rPr>
          <w:rFonts w:ascii="PT Astra Serif" w:hAnsi="PT Astra Serif"/>
        </w:rPr>
        <w:t>регионального государственного жилищного контроля (надзора)</w:t>
      </w:r>
      <w:r w:rsidR="003655B6" w:rsidRPr="003655B6">
        <w:rPr>
          <w:rFonts w:ascii="PT Astra Serif" w:hAnsi="PT Astra Serif"/>
        </w:rPr>
        <w:t xml:space="preserve"> на территории Ульяновской области</w:t>
      </w:r>
      <w:r w:rsidR="00371E60">
        <w:rPr>
          <w:rFonts w:ascii="PT Astra Serif" w:hAnsi="PT Astra Serif"/>
        </w:rPr>
        <w:t xml:space="preserve"> с учётом положений федерального законодательства</w:t>
      </w:r>
      <w:r w:rsidRPr="003B2889">
        <w:rPr>
          <w:rFonts w:ascii="PT Astra Serif" w:hAnsi="PT Astra Serif"/>
        </w:rPr>
        <w:t>.</w:t>
      </w:r>
    </w:p>
    <w:p w:rsidR="00DA5377" w:rsidRPr="00E33251" w:rsidRDefault="00DA5377" w:rsidP="00DA537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DA5377" w:rsidRPr="00E33251" w:rsidRDefault="00DA5377" w:rsidP="00DA5377">
      <w:pPr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DA5377" w:rsidRPr="00E33251" w:rsidRDefault="00DA5377" w:rsidP="00DA5377">
      <w:pPr>
        <w:ind w:firstLine="709"/>
        <w:jc w:val="right"/>
        <w:rPr>
          <w:rFonts w:ascii="PT Astra Serif" w:hAnsi="PT Astra Serif"/>
        </w:rPr>
      </w:pPr>
      <w:r w:rsidRPr="00E33251">
        <w:rPr>
          <w:rFonts w:ascii="PT Astra Serif" w:hAnsi="PT Astra Serif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DA5377" w:rsidRPr="00E33251" w:rsidTr="002920B4">
        <w:tc>
          <w:tcPr>
            <w:tcW w:w="4219" w:type="dxa"/>
          </w:tcPr>
          <w:p w:rsidR="00DA5377" w:rsidRPr="00E33251" w:rsidRDefault="00DA5377" w:rsidP="002920B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Описание целей предлагаемого </w:t>
            </w:r>
            <w:r w:rsidR="00667FE1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регулирования, их соотношение с</w:t>
            </w:r>
            <w:r w:rsidR="002920B4" w:rsidRPr="00E33251">
              <w:rPr>
                <w:rFonts w:ascii="PT Astra Serif" w:hAnsi="PT Astra Serif"/>
                <w:b/>
                <w:sz w:val="24"/>
                <w:szCs w:val="24"/>
              </w:rPr>
              <w:t> 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проблемой</w:t>
            </w:r>
          </w:p>
        </w:tc>
        <w:tc>
          <w:tcPr>
            <w:tcW w:w="2552" w:type="dxa"/>
          </w:tcPr>
          <w:p w:rsidR="00DA5377" w:rsidRPr="00E33251" w:rsidRDefault="00DA5377" w:rsidP="00BD592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</w:t>
            </w:r>
            <w:r w:rsidR="002D67DA">
              <w:rPr>
                <w:rFonts w:ascii="PT Astra Serif" w:hAnsi="PT Astra Serif"/>
                <w:b/>
                <w:sz w:val="24"/>
                <w:szCs w:val="24"/>
              </w:rPr>
              <w:t xml:space="preserve"> правового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3057" w:type="dxa"/>
          </w:tcPr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</w:t>
            </w:r>
            <w:r w:rsidR="002D67DA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регулирования </w:t>
            </w:r>
          </w:p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667FE1" w:rsidRPr="00E33251" w:rsidTr="002D67DA">
        <w:trPr>
          <w:trHeight w:val="428"/>
        </w:trPr>
        <w:tc>
          <w:tcPr>
            <w:tcW w:w="4219" w:type="dxa"/>
          </w:tcPr>
          <w:p w:rsidR="00667FE1" w:rsidRPr="00E33251" w:rsidRDefault="00347460" w:rsidP="00AB54C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7460">
              <w:rPr>
                <w:rFonts w:ascii="PT Astra Serif" w:hAnsi="PT Astra Serif"/>
                <w:sz w:val="24"/>
                <w:szCs w:val="24"/>
              </w:rPr>
              <w:t xml:space="preserve">Утверждение </w:t>
            </w:r>
            <w:r w:rsidR="00AB54C9">
              <w:rPr>
                <w:rFonts w:ascii="PT Astra Serif" w:hAnsi="PT Astra Serif"/>
                <w:sz w:val="24"/>
                <w:szCs w:val="24"/>
              </w:rPr>
              <w:t>и</w:t>
            </w:r>
            <w:r w:rsidR="00AB54C9" w:rsidRPr="00AB54C9">
              <w:rPr>
                <w:rFonts w:ascii="PT Astra Serif" w:hAnsi="PT Astra Serif"/>
                <w:sz w:val="24"/>
                <w:szCs w:val="24"/>
              </w:rPr>
              <w:t>ндикатор</w:t>
            </w:r>
            <w:r w:rsidR="00AB54C9">
              <w:rPr>
                <w:rFonts w:ascii="PT Astra Serif" w:hAnsi="PT Astra Serif"/>
                <w:sz w:val="24"/>
                <w:szCs w:val="24"/>
              </w:rPr>
              <w:t>ов</w:t>
            </w:r>
            <w:r w:rsidR="00AB54C9" w:rsidRPr="00AB54C9">
              <w:rPr>
                <w:rFonts w:ascii="PT Astra Serif" w:hAnsi="PT Astra Serif"/>
                <w:sz w:val="24"/>
                <w:szCs w:val="24"/>
              </w:rPr>
              <w:t xml:space="preserve"> риска нарушения обязательных требований, используемые в качестве основания для проведения внепланового контрольного (надзорного) мероприятия при осуществлении регионального государственного жилищного контроля (надзора) на территории Ульяновской области</w:t>
            </w:r>
          </w:p>
        </w:tc>
        <w:tc>
          <w:tcPr>
            <w:tcW w:w="2552" w:type="dxa"/>
            <w:vAlign w:val="center"/>
          </w:tcPr>
          <w:p w:rsidR="00667FE1" w:rsidRPr="00E33251" w:rsidRDefault="003655B6" w:rsidP="002920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3057" w:type="dxa"/>
            <w:vAlign w:val="center"/>
          </w:tcPr>
          <w:p w:rsidR="00667FE1" w:rsidRPr="00E33251" w:rsidRDefault="00AB54C9" w:rsidP="00AB54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AB54C9" w:rsidRDefault="00AB54C9" w:rsidP="00DA5377">
      <w:pPr>
        <w:ind w:firstLine="708"/>
        <w:jc w:val="both"/>
        <w:rPr>
          <w:rFonts w:ascii="PT Astra Serif" w:hAnsi="PT Astra Serif"/>
          <w:b/>
        </w:rPr>
      </w:pPr>
    </w:p>
    <w:p w:rsidR="00DA5377" w:rsidRPr="00E33251" w:rsidRDefault="00DA5377" w:rsidP="00DA5377">
      <w:pPr>
        <w:ind w:firstLine="708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  <w:b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E33251">
        <w:rPr>
          <w:rFonts w:ascii="PT Astra Serif" w:hAnsi="PT Astra Serif"/>
        </w:rPr>
        <w:t>.</w:t>
      </w:r>
    </w:p>
    <w:p w:rsidR="00CE1637" w:rsidRDefault="00DA5377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A7CB5">
        <w:rPr>
          <w:rFonts w:ascii="PT Astra Serif" w:hAnsi="PT Astra Serif"/>
        </w:rPr>
        <w:t xml:space="preserve">По итогам мониторинга регионального законодательства в </w:t>
      </w:r>
      <w:r w:rsidR="000A7CB5">
        <w:rPr>
          <w:rFonts w:ascii="PT Astra Serif" w:hAnsi="PT Astra Serif"/>
        </w:rPr>
        <w:t>части</w:t>
      </w:r>
      <w:r w:rsidR="00A03D2B" w:rsidRPr="000A7CB5">
        <w:rPr>
          <w:rFonts w:ascii="PT Astra Serif" w:hAnsi="PT Astra Serif"/>
        </w:rPr>
        <w:t xml:space="preserve"> </w:t>
      </w:r>
      <w:r w:rsidR="000A7CB5" w:rsidRPr="000A7CB5">
        <w:rPr>
          <w:rFonts w:ascii="PT Astra Serif" w:hAnsi="PT Astra Serif"/>
        </w:rPr>
        <w:t>утверждения</w:t>
      </w:r>
      <w:r w:rsidR="00075BD2" w:rsidRPr="000A7CB5">
        <w:rPr>
          <w:rFonts w:ascii="PT Astra Serif" w:hAnsi="PT Astra Serif"/>
        </w:rPr>
        <w:t xml:space="preserve"> </w:t>
      </w:r>
      <w:r w:rsidR="000A35A0">
        <w:rPr>
          <w:rFonts w:ascii="PT Astra Serif" w:hAnsi="PT Astra Serif"/>
        </w:rPr>
        <w:t>и</w:t>
      </w:r>
      <w:r w:rsidR="000A35A0" w:rsidRPr="000A35A0">
        <w:rPr>
          <w:rFonts w:ascii="PT Astra Serif" w:hAnsi="PT Astra Serif"/>
        </w:rPr>
        <w:t>ндикатор</w:t>
      </w:r>
      <w:r w:rsidR="000A35A0">
        <w:rPr>
          <w:rFonts w:ascii="PT Astra Serif" w:hAnsi="PT Astra Serif"/>
        </w:rPr>
        <w:t>ов</w:t>
      </w:r>
      <w:r w:rsidR="000A35A0" w:rsidRPr="000A35A0">
        <w:rPr>
          <w:rFonts w:ascii="PT Astra Serif" w:hAnsi="PT Astra Serif"/>
        </w:rPr>
        <w:t xml:space="preserve"> риска нарушения обязательных требований, используемые в качестве основания для проведения</w:t>
      </w:r>
      <w:r w:rsidR="000A35A0">
        <w:rPr>
          <w:rFonts w:ascii="PT Astra Serif" w:hAnsi="PT Astra Serif"/>
        </w:rPr>
        <w:t xml:space="preserve"> внепланового</w:t>
      </w:r>
      <w:r w:rsidR="000A35A0" w:rsidRPr="000A35A0">
        <w:rPr>
          <w:rFonts w:ascii="PT Astra Serif" w:hAnsi="PT Astra Serif"/>
        </w:rPr>
        <w:t xml:space="preserve"> контрольного (надзорного) мероприятия при осуществлении регионального государственного жилищного контроля (надзора) на территории </w:t>
      </w:r>
      <w:r w:rsidR="005101DD">
        <w:rPr>
          <w:rFonts w:ascii="PT Astra Serif" w:hAnsi="PT Astra Serif"/>
        </w:rPr>
        <w:t>субъекта Р</w:t>
      </w:r>
      <w:r w:rsidR="000A7CB5">
        <w:rPr>
          <w:rFonts w:ascii="PT Astra Serif" w:hAnsi="PT Astra Serif"/>
        </w:rPr>
        <w:t xml:space="preserve">оссийской Федерации, установлено, </w:t>
      </w:r>
      <w:r w:rsidR="000A7CB5" w:rsidRPr="000A7CB5">
        <w:rPr>
          <w:rFonts w:ascii="PT Astra Serif" w:hAnsi="PT Astra Serif"/>
        </w:rPr>
        <w:t>что</w:t>
      </w:r>
      <w:r w:rsidR="00075BD2" w:rsidRPr="000A7CB5">
        <w:rPr>
          <w:rFonts w:ascii="PT Astra Serif" w:hAnsi="PT Astra Serif" w:cs="PT Astra Serif"/>
        </w:rPr>
        <w:t xml:space="preserve"> </w:t>
      </w:r>
      <w:r w:rsidR="00257389">
        <w:rPr>
          <w:rFonts w:ascii="PT Astra Serif" w:hAnsi="PT Astra Serif" w:cs="PT Astra Serif"/>
        </w:rPr>
        <w:t>с</w:t>
      </w:r>
      <w:r w:rsidRPr="000A7CB5">
        <w:rPr>
          <w:rFonts w:ascii="PT Astra Serif" w:hAnsi="PT Astra Serif"/>
        </w:rPr>
        <w:t>хожие нормативные правовые акты</w:t>
      </w:r>
      <w:r w:rsidR="00CE1637">
        <w:rPr>
          <w:rFonts w:ascii="PT Astra Serif" w:hAnsi="PT Astra Serif"/>
        </w:rPr>
        <w:t xml:space="preserve"> приняты во многих</w:t>
      </w:r>
      <w:r w:rsidR="00257389">
        <w:rPr>
          <w:rFonts w:ascii="PT Astra Serif" w:hAnsi="PT Astra Serif"/>
        </w:rPr>
        <w:t xml:space="preserve"> субъект</w:t>
      </w:r>
      <w:r w:rsidR="00CE1637">
        <w:rPr>
          <w:rFonts w:ascii="PT Astra Serif" w:hAnsi="PT Astra Serif"/>
        </w:rPr>
        <w:t>ах</w:t>
      </w:r>
      <w:r w:rsidR="00257389">
        <w:rPr>
          <w:rFonts w:ascii="PT Astra Serif" w:hAnsi="PT Astra Serif"/>
        </w:rPr>
        <w:t xml:space="preserve"> Российской Федерации</w:t>
      </w:r>
      <w:r w:rsidR="002E3604">
        <w:rPr>
          <w:rFonts w:ascii="PT Astra Serif" w:hAnsi="PT Astra Serif"/>
        </w:rPr>
        <w:t>. Так, напри</w:t>
      </w:r>
      <w:r w:rsidR="0038567E">
        <w:rPr>
          <w:rFonts w:ascii="PT Astra Serif" w:hAnsi="PT Astra Serif"/>
        </w:rPr>
        <w:t>мер</w:t>
      </w:r>
      <w:r w:rsidR="00CE1637">
        <w:rPr>
          <w:rFonts w:ascii="PT Astra Serif" w:hAnsi="PT Astra Serif"/>
        </w:rPr>
        <w:t>:</w:t>
      </w:r>
    </w:p>
    <w:p w:rsidR="000A35A0" w:rsidRDefault="00EB1DAB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EB1DAB">
        <w:rPr>
          <w:rFonts w:ascii="PT Astra Serif" w:hAnsi="PT Astra Serif"/>
        </w:rPr>
        <w:t xml:space="preserve">риказ Государственной жилищной инспекции Костромской области </w:t>
      </w:r>
      <w:r>
        <w:rPr>
          <w:rFonts w:ascii="PT Astra Serif" w:hAnsi="PT Astra Serif"/>
        </w:rPr>
        <w:br/>
      </w:r>
      <w:r w:rsidRPr="00EB1DAB">
        <w:rPr>
          <w:rFonts w:ascii="PT Astra Serif" w:hAnsi="PT Astra Serif"/>
        </w:rPr>
        <w:t xml:space="preserve">от </w:t>
      </w:r>
      <w:r>
        <w:rPr>
          <w:rFonts w:ascii="PT Astra Serif" w:hAnsi="PT Astra Serif"/>
        </w:rPr>
        <w:t>0</w:t>
      </w:r>
      <w:r w:rsidRPr="00EB1DAB">
        <w:rPr>
          <w:rFonts w:ascii="PT Astra Serif" w:hAnsi="PT Astra Serif"/>
        </w:rPr>
        <w:t>1</w:t>
      </w:r>
      <w:r>
        <w:rPr>
          <w:rFonts w:ascii="PT Astra Serif" w:hAnsi="PT Astra Serif"/>
        </w:rPr>
        <w:t>.10.</w:t>
      </w:r>
      <w:r w:rsidRPr="00EB1DAB">
        <w:rPr>
          <w:rFonts w:ascii="PT Astra Serif" w:hAnsi="PT Astra Serif"/>
        </w:rPr>
        <w:t xml:space="preserve">2021 </w:t>
      </w:r>
      <w:r>
        <w:rPr>
          <w:rFonts w:ascii="PT Astra Serif" w:hAnsi="PT Astra Serif"/>
        </w:rPr>
        <w:t>№</w:t>
      </w:r>
      <w:r w:rsidRPr="00EB1DAB">
        <w:rPr>
          <w:rFonts w:ascii="PT Astra Serif" w:hAnsi="PT Astra Serif"/>
        </w:rPr>
        <w:t xml:space="preserve"> 1554 </w:t>
      </w:r>
      <w:r>
        <w:rPr>
          <w:rFonts w:ascii="PT Astra Serif" w:hAnsi="PT Astra Serif"/>
        </w:rPr>
        <w:t>«</w:t>
      </w:r>
      <w:r w:rsidRPr="00EB1DAB">
        <w:rPr>
          <w:rFonts w:ascii="PT Astra Serif" w:hAnsi="PT Astra Serif"/>
        </w:rPr>
        <w:t>Об утверждении Индикаторов риска нарушения обязательных требований, используемых в качестве основания для проведения внеплановых контрольных (надзорных) мероприятий при осуществлении государственной жилищной инспекцией Костромской области регионального государственно</w:t>
      </w:r>
      <w:r>
        <w:rPr>
          <w:rFonts w:ascii="PT Astra Serif" w:hAnsi="PT Astra Serif"/>
        </w:rPr>
        <w:t>го жилищного контроля (надзора)»;</w:t>
      </w:r>
    </w:p>
    <w:p w:rsidR="00EB1DAB" w:rsidRDefault="00EB1DAB" w:rsidP="00D44D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D44D40">
        <w:rPr>
          <w:rFonts w:ascii="PT Astra Serif" w:hAnsi="PT Astra Serif"/>
        </w:rPr>
        <w:t>п</w:t>
      </w:r>
      <w:r w:rsidR="00D44D40" w:rsidRPr="00D44D40">
        <w:rPr>
          <w:rFonts w:ascii="PT Astra Serif" w:hAnsi="PT Astra Serif"/>
        </w:rPr>
        <w:t>остановление Правительства Новгородской области от 13</w:t>
      </w:r>
      <w:r w:rsidR="00D44D40">
        <w:rPr>
          <w:rFonts w:ascii="PT Astra Serif" w:hAnsi="PT Astra Serif"/>
        </w:rPr>
        <w:t>.12.</w:t>
      </w:r>
      <w:r w:rsidR="00D44D40" w:rsidRPr="00D44D40">
        <w:rPr>
          <w:rFonts w:ascii="PT Astra Serif" w:hAnsi="PT Astra Serif"/>
        </w:rPr>
        <w:t xml:space="preserve">2021 </w:t>
      </w:r>
      <w:r w:rsidR="00D44D40">
        <w:rPr>
          <w:rFonts w:ascii="PT Astra Serif" w:hAnsi="PT Astra Serif"/>
        </w:rPr>
        <w:br/>
        <w:t>№</w:t>
      </w:r>
      <w:r w:rsidR="00D44D40" w:rsidRPr="00D44D40">
        <w:rPr>
          <w:rFonts w:ascii="PT Astra Serif" w:hAnsi="PT Astra Serif"/>
        </w:rPr>
        <w:t xml:space="preserve"> 447</w:t>
      </w:r>
      <w:r w:rsidR="00D44D40">
        <w:rPr>
          <w:rFonts w:ascii="PT Astra Serif" w:hAnsi="PT Astra Serif"/>
        </w:rPr>
        <w:t xml:space="preserve"> «</w:t>
      </w:r>
      <w:r w:rsidR="00D44D40" w:rsidRPr="00D44D40">
        <w:rPr>
          <w:rFonts w:ascii="PT Astra Serif" w:hAnsi="PT Astra Serif"/>
        </w:rPr>
        <w:t xml:space="preserve">Об утверждении перечня индикаторов риска нарушения обязательных требований, используемых в качестве основания для проведения внеплановых проверок при осуществлении регионального государственного жилищного надзора на </w:t>
      </w:r>
      <w:r w:rsidR="00D44D40">
        <w:rPr>
          <w:rFonts w:ascii="PT Astra Serif" w:hAnsi="PT Astra Serif"/>
        </w:rPr>
        <w:t>территории Новгородской области»;</w:t>
      </w:r>
    </w:p>
    <w:p w:rsidR="00D44D40" w:rsidRDefault="00D44D40" w:rsidP="00F738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F73826">
        <w:rPr>
          <w:rFonts w:ascii="PT Astra Serif" w:hAnsi="PT Astra Serif"/>
        </w:rPr>
        <w:t>п</w:t>
      </w:r>
      <w:r w:rsidR="00F73826" w:rsidRPr="00F73826">
        <w:rPr>
          <w:rFonts w:ascii="PT Astra Serif" w:hAnsi="PT Astra Serif"/>
        </w:rPr>
        <w:t>остановление Правительства Приморского края от 15</w:t>
      </w:r>
      <w:r w:rsidR="00F73826">
        <w:rPr>
          <w:rFonts w:ascii="PT Astra Serif" w:hAnsi="PT Astra Serif"/>
        </w:rPr>
        <w:t>.09.</w:t>
      </w:r>
      <w:r w:rsidR="00F73826" w:rsidRPr="00F73826">
        <w:rPr>
          <w:rFonts w:ascii="PT Astra Serif" w:hAnsi="PT Astra Serif"/>
        </w:rPr>
        <w:t xml:space="preserve">2021 </w:t>
      </w:r>
      <w:r w:rsidR="00F73826">
        <w:rPr>
          <w:rFonts w:ascii="PT Astra Serif" w:hAnsi="PT Astra Serif"/>
        </w:rPr>
        <w:t>№</w:t>
      </w:r>
      <w:r w:rsidR="00F73826" w:rsidRPr="00F73826">
        <w:rPr>
          <w:rFonts w:ascii="PT Astra Serif" w:hAnsi="PT Astra Serif"/>
        </w:rPr>
        <w:t xml:space="preserve"> 606-пп</w:t>
      </w:r>
      <w:r w:rsidR="00F73826">
        <w:rPr>
          <w:rFonts w:ascii="PT Astra Serif" w:hAnsi="PT Astra Serif"/>
        </w:rPr>
        <w:br/>
        <w:t>«</w:t>
      </w:r>
      <w:r w:rsidR="00F73826" w:rsidRPr="00F73826">
        <w:rPr>
          <w:rFonts w:ascii="PT Astra Serif" w:hAnsi="PT Astra Serif"/>
        </w:rPr>
        <w:t>О региональном государственном жилищном контр</w:t>
      </w:r>
      <w:r w:rsidR="00F73826">
        <w:rPr>
          <w:rFonts w:ascii="PT Astra Serif" w:hAnsi="PT Astra Serif"/>
        </w:rPr>
        <w:t>оле (надзоре) в Приморском крае»;</w:t>
      </w:r>
    </w:p>
    <w:p w:rsidR="00F73826" w:rsidRDefault="00F73826" w:rsidP="00F738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F73826">
        <w:rPr>
          <w:rFonts w:ascii="PT Astra Serif" w:hAnsi="PT Astra Serif"/>
        </w:rPr>
        <w:t>остановление Правительства Республики Коми от 28</w:t>
      </w:r>
      <w:r>
        <w:rPr>
          <w:rFonts w:ascii="PT Astra Serif" w:hAnsi="PT Astra Serif"/>
        </w:rPr>
        <w:t>.09.</w:t>
      </w:r>
      <w:r w:rsidRPr="00F73826">
        <w:rPr>
          <w:rFonts w:ascii="PT Astra Serif" w:hAnsi="PT Astra Serif"/>
        </w:rPr>
        <w:t xml:space="preserve">2021 </w:t>
      </w:r>
      <w:r>
        <w:rPr>
          <w:rFonts w:ascii="PT Astra Serif" w:hAnsi="PT Astra Serif"/>
        </w:rPr>
        <w:t>№</w:t>
      </w:r>
      <w:r w:rsidRPr="00F73826">
        <w:rPr>
          <w:rFonts w:ascii="PT Astra Serif" w:hAnsi="PT Astra Serif"/>
        </w:rPr>
        <w:t xml:space="preserve"> 463</w:t>
      </w:r>
      <w:r>
        <w:rPr>
          <w:rFonts w:ascii="PT Astra Serif" w:hAnsi="PT Astra Serif"/>
        </w:rPr>
        <w:t xml:space="preserve"> «</w:t>
      </w:r>
      <w:r w:rsidRPr="00F73826">
        <w:rPr>
          <w:rFonts w:ascii="PT Astra Serif" w:hAnsi="PT Astra Serif"/>
        </w:rPr>
        <w:t xml:space="preserve">Об утверждении Положения о региональном государственном жилищном контроле (надзоре) на территории </w:t>
      </w:r>
      <w:r>
        <w:rPr>
          <w:rFonts w:ascii="PT Astra Serif" w:hAnsi="PT Astra Serif"/>
        </w:rPr>
        <w:t>Республики Коми».</w:t>
      </w:r>
    </w:p>
    <w:p w:rsidR="00CC61CB" w:rsidRDefault="00CC61CB" w:rsidP="00CC61C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highlight w:val="yellow"/>
        </w:rPr>
      </w:pPr>
      <w:r>
        <w:rPr>
          <w:rFonts w:ascii="PT Astra Serif" w:hAnsi="PT Astra Serif"/>
        </w:rPr>
        <w:t xml:space="preserve">Таким образом, </w:t>
      </w:r>
      <w:r w:rsidRPr="002763D0">
        <w:rPr>
          <w:rFonts w:ascii="PT Astra Serif" w:hAnsi="PT Astra Serif"/>
        </w:rPr>
        <w:t>с учётом регионального опыта можно сделать вывод об определённой степени эффективности рассматриваемого правового регулирования.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E72EF5" w:rsidRDefault="007B0CA7" w:rsidP="0085138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В</w:t>
      </w:r>
      <w:r w:rsidR="00F04A6F">
        <w:rPr>
          <w:rFonts w:ascii="PT Astra Serif" w:hAnsi="PT Astra Serif"/>
        </w:rPr>
        <w:t xml:space="preserve"> соответствии с </w:t>
      </w:r>
      <w:r w:rsidR="00851389">
        <w:rPr>
          <w:rFonts w:ascii="PT Astra Serif" w:hAnsi="PT Astra Serif"/>
        </w:rPr>
        <w:t xml:space="preserve">подпунктом 1 пункта 2.2 Положения </w:t>
      </w:r>
      <w:r w:rsidR="00851389" w:rsidRPr="00851389">
        <w:rPr>
          <w:rFonts w:ascii="PT Astra Serif" w:hAnsi="PT Astra Serif"/>
        </w:rPr>
        <w:t>об Агентстве государственного строительного и жилищного надзора Ульяновской области</w:t>
      </w:r>
      <w:r w:rsidR="00851389">
        <w:rPr>
          <w:rFonts w:ascii="PT Astra Serif" w:hAnsi="PT Astra Serif"/>
        </w:rPr>
        <w:t>, утверждённого п</w:t>
      </w:r>
      <w:r w:rsidR="00851389" w:rsidRPr="00851389">
        <w:rPr>
          <w:rFonts w:ascii="PT Astra Serif" w:hAnsi="PT Astra Serif"/>
        </w:rPr>
        <w:t>остановление</w:t>
      </w:r>
      <w:r w:rsidR="00851389">
        <w:rPr>
          <w:rFonts w:ascii="PT Astra Serif" w:hAnsi="PT Astra Serif"/>
        </w:rPr>
        <w:t>м</w:t>
      </w:r>
      <w:r w:rsidR="00851389" w:rsidRPr="00851389">
        <w:rPr>
          <w:rFonts w:ascii="PT Astra Serif" w:hAnsi="PT Astra Serif"/>
        </w:rPr>
        <w:t xml:space="preserve"> Правительства Ульяновской области от 15</w:t>
      </w:r>
      <w:r w:rsidR="00851389">
        <w:rPr>
          <w:rFonts w:ascii="PT Astra Serif" w:hAnsi="PT Astra Serif"/>
        </w:rPr>
        <w:t>.07.</w:t>
      </w:r>
      <w:r w:rsidR="00851389" w:rsidRPr="00851389">
        <w:rPr>
          <w:rFonts w:ascii="PT Astra Serif" w:hAnsi="PT Astra Serif"/>
        </w:rPr>
        <w:t xml:space="preserve">2020 </w:t>
      </w:r>
      <w:r w:rsidR="00851389">
        <w:rPr>
          <w:rFonts w:ascii="PT Astra Serif" w:hAnsi="PT Astra Serif"/>
        </w:rPr>
        <w:t xml:space="preserve">№ </w:t>
      </w:r>
      <w:r w:rsidR="00851389" w:rsidRPr="00851389">
        <w:rPr>
          <w:rFonts w:ascii="PT Astra Serif" w:hAnsi="PT Astra Serif"/>
        </w:rPr>
        <w:t>15/370-П</w:t>
      </w:r>
      <w:r w:rsidR="00851389">
        <w:rPr>
          <w:rFonts w:ascii="PT Astra Serif" w:hAnsi="PT Astra Serif"/>
        </w:rPr>
        <w:t xml:space="preserve"> «</w:t>
      </w:r>
      <w:r w:rsidR="00851389" w:rsidRPr="00851389">
        <w:rPr>
          <w:rFonts w:ascii="PT Astra Serif" w:hAnsi="PT Astra Serif"/>
        </w:rPr>
        <w:t>Об Агентстве государственного строительного и жилищн</w:t>
      </w:r>
      <w:r w:rsidR="00851389">
        <w:rPr>
          <w:rFonts w:ascii="PT Astra Serif" w:hAnsi="PT Astra Serif"/>
        </w:rPr>
        <w:t xml:space="preserve">ого надзора Ульяновской области», к полномочиям </w:t>
      </w:r>
      <w:r w:rsidR="00851389" w:rsidRPr="00851389">
        <w:rPr>
          <w:rFonts w:ascii="PT Astra Serif" w:hAnsi="PT Astra Serif"/>
        </w:rPr>
        <w:t>Агентств</w:t>
      </w:r>
      <w:r w:rsidR="00851389">
        <w:rPr>
          <w:rFonts w:ascii="PT Astra Serif" w:hAnsi="PT Astra Serif"/>
        </w:rPr>
        <w:t>а</w:t>
      </w:r>
      <w:r w:rsidR="00851389" w:rsidRPr="00851389">
        <w:rPr>
          <w:rFonts w:ascii="PT Astra Serif" w:hAnsi="PT Astra Serif"/>
        </w:rPr>
        <w:t xml:space="preserve"> государственного строительного и жилищн</w:t>
      </w:r>
      <w:r w:rsidR="00851389">
        <w:rPr>
          <w:rFonts w:ascii="PT Astra Serif" w:hAnsi="PT Astra Serif"/>
        </w:rPr>
        <w:t>ого надзора Ульяновской области</w:t>
      </w:r>
      <w:r w:rsidR="00851389">
        <w:rPr>
          <w:rFonts w:ascii="PT Astra Serif" w:hAnsi="PT Astra Serif"/>
        </w:rPr>
        <w:t xml:space="preserve"> в</w:t>
      </w:r>
      <w:r w:rsidR="00851389" w:rsidRPr="00851389">
        <w:rPr>
          <w:rFonts w:ascii="PT Astra Serif" w:hAnsi="PT Astra Serif"/>
        </w:rPr>
        <w:t xml:space="preserve"> сфере жилищных отношений</w:t>
      </w:r>
      <w:r w:rsidR="00851389">
        <w:rPr>
          <w:rFonts w:ascii="PT Astra Serif" w:hAnsi="PT Astra Serif"/>
        </w:rPr>
        <w:t xml:space="preserve"> относится </w:t>
      </w:r>
      <w:r w:rsidR="00851389" w:rsidRPr="00851389">
        <w:rPr>
          <w:rFonts w:ascii="PT Astra Serif" w:hAnsi="PT Astra Serif"/>
        </w:rPr>
        <w:t>осуществле</w:t>
      </w:r>
      <w:r w:rsidR="00851389">
        <w:rPr>
          <w:rFonts w:ascii="PT Astra Serif" w:hAnsi="PT Astra Serif"/>
        </w:rPr>
        <w:t>ние</w:t>
      </w:r>
      <w:r w:rsidR="00851389" w:rsidRPr="00851389">
        <w:rPr>
          <w:rFonts w:ascii="PT Astra Serif" w:hAnsi="PT Astra Serif"/>
        </w:rPr>
        <w:t xml:space="preserve"> региональн</w:t>
      </w:r>
      <w:r w:rsidR="00851389">
        <w:rPr>
          <w:rFonts w:ascii="PT Astra Serif" w:hAnsi="PT Astra Serif"/>
        </w:rPr>
        <w:t>ого</w:t>
      </w:r>
      <w:r w:rsidR="00851389" w:rsidRPr="00851389">
        <w:rPr>
          <w:rFonts w:ascii="PT Astra Serif" w:hAnsi="PT Astra Serif"/>
        </w:rPr>
        <w:t xml:space="preserve"> государственн</w:t>
      </w:r>
      <w:r w:rsidR="00851389">
        <w:rPr>
          <w:rFonts w:ascii="PT Astra Serif" w:hAnsi="PT Astra Serif"/>
        </w:rPr>
        <w:t>ого</w:t>
      </w:r>
      <w:r w:rsidR="00851389" w:rsidRPr="00851389">
        <w:rPr>
          <w:rFonts w:ascii="PT Astra Serif" w:hAnsi="PT Astra Serif"/>
        </w:rPr>
        <w:t xml:space="preserve"> жилищн</w:t>
      </w:r>
      <w:r w:rsidR="00851389">
        <w:rPr>
          <w:rFonts w:ascii="PT Astra Serif" w:hAnsi="PT Astra Serif"/>
        </w:rPr>
        <w:t>ого</w:t>
      </w:r>
      <w:r w:rsidR="00851389" w:rsidRPr="00851389">
        <w:rPr>
          <w:rFonts w:ascii="PT Astra Serif" w:hAnsi="PT Astra Serif"/>
        </w:rPr>
        <w:t xml:space="preserve"> надзор</w:t>
      </w:r>
      <w:r w:rsidR="00851389">
        <w:rPr>
          <w:rFonts w:ascii="PT Astra Serif" w:hAnsi="PT Astra Serif"/>
        </w:rPr>
        <w:t>а.</w:t>
      </w:r>
      <w:proofErr w:type="gramEnd"/>
    </w:p>
    <w:p w:rsidR="00851389" w:rsidRDefault="00851389" w:rsidP="007B7C8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 информации разработчика акта принятие проекта акта не приведёт к увеличению расходов регионального бюджета Ульяновской области.</w:t>
      </w:r>
    </w:p>
    <w:p w:rsidR="00C178E5" w:rsidRDefault="00851389" w:rsidP="007B7C8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 этом п</w:t>
      </w:r>
      <w:r w:rsidR="00C178E5">
        <w:rPr>
          <w:rFonts w:ascii="PT Astra Serif" w:hAnsi="PT Astra Serif"/>
        </w:rPr>
        <w:t xml:space="preserve">ринятие проекта акта будет способствовать профилактике правонарушений в </w:t>
      </w:r>
      <w:r w:rsidR="00E72EF5">
        <w:rPr>
          <w:rFonts w:ascii="PT Astra Serif" w:hAnsi="PT Astra Serif"/>
        </w:rPr>
        <w:t>жилищной</w:t>
      </w:r>
      <w:r w:rsidR="00561D06">
        <w:rPr>
          <w:rFonts w:ascii="PT Astra Serif" w:hAnsi="PT Astra Serif"/>
        </w:rPr>
        <w:t xml:space="preserve"> </w:t>
      </w:r>
      <w:r w:rsidR="00C178E5">
        <w:rPr>
          <w:rFonts w:ascii="PT Astra Serif" w:hAnsi="PT Astra Serif"/>
        </w:rPr>
        <w:t>сфере.</w:t>
      </w:r>
    </w:p>
    <w:p w:rsidR="00F04A6F" w:rsidRPr="00E72EF5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72EF5">
        <w:rPr>
          <w:rFonts w:ascii="PT Astra Serif" w:hAnsi="PT Astra Serif"/>
        </w:rPr>
        <w:t>Альтернативным вариантом решения проблемы является отказ от</w:t>
      </w:r>
      <w:r w:rsidR="00573F47" w:rsidRPr="00E72EF5">
        <w:rPr>
          <w:rFonts w:ascii="PT Astra Serif" w:hAnsi="PT Astra Serif"/>
        </w:rPr>
        <w:t> </w:t>
      </w:r>
      <w:r w:rsidRPr="00E72EF5">
        <w:rPr>
          <w:rFonts w:ascii="PT Astra Serif" w:hAnsi="PT Astra Serif"/>
        </w:rPr>
        <w:t xml:space="preserve">принятия рассматриваемого правового регулирования, т.е. сохранение </w:t>
      </w:r>
      <w:r w:rsidRPr="00E72EF5">
        <w:rPr>
          <w:rFonts w:ascii="PT Astra Serif" w:hAnsi="PT Astra Serif"/>
        </w:rPr>
        <w:lastRenderedPageBreak/>
        <w:t xml:space="preserve">ситуации «статус-кво». </w:t>
      </w:r>
      <w:proofErr w:type="gramStart"/>
      <w:r w:rsidRPr="00E72EF5">
        <w:rPr>
          <w:rFonts w:ascii="PT Astra Serif" w:hAnsi="PT Astra Serif"/>
        </w:rPr>
        <w:t>Однако данный вариа</w:t>
      </w:r>
      <w:r w:rsidR="006A778A" w:rsidRPr="00E72EF5">
        <w:rPr>
          <w:rFonts w:ascii="PT Astra Serif" w:hAnsi="PT Astra Serif"/>
        </w:rPr>
        <w:t xml:space="preserve">нт решения проблемы </w:t>
      </w:r>
      <w:r w:rsidR="00CE0FB7" w:rsidRPr="00E72EF5">
        <w:rPr>
          <w:rFonts w:ascii="PT Astra Serif" w:hAnsi="PT Astra Serif"/>
        </w:rPr>
        <w:t xml:space="preserve">не позволит устранить ситуацию правовой неопределённости </w:t>
      </w:r>
      <w:r w:rsidR="00C178E5" w:rsidRPr="00E72EF5">
        <w:rPr>
          <w:rFonts w:ascii="PT Astra Serif" w:hAnsi="PT Astra Serif"/>
        </w:rPr>
        <w:t xml:space="preserve">в сфере осуществления </w:t>
      </w:r>
      <w:r w:rsidR="00E72EF5" w:rsidRPr="00E72EF5">
        <w:rPr>
          <w:rFonts w:ascii="PT Astra Serif" w:hAnsi="PT Astra Serif"/>
        </w:rPr>
        <w:t>регионального государственного жилищного контроля (надзора) на территории Ульяновской области</w:t>
      </w:r>
      <w:r w:rsidR="00CE0FB7" w:rsidRPr="00E72EF5">
        <w:rPr>
          <w:rFonts w:ascii="PT Astra Serif" w:hAnsi="PT Astra Serif"/>
        </w:rPr>
        <w:t xml:space="preserve"> и создать необходимые нормативные правовые условия для исполнения </w:t>
      </w:r>
      <w:r w:rsidR="00692610" w:rsidRPr="00E72EF5">
        <w:rPr>
          <w:rFonts w:ascii="PT Astra Serif" w:hAnsi="PT Astra Serif"/>
        </w:rPr>
        <w:t>Агентством государственного строительного и жилищного надзора</w:t>
      </w:r>
      <w:r w:rsidR="00C178E5" w:rsidRPr="00E72EF5">
        <w:rPr>
          <w:rFonts w:ascii="PT Astra Serif" w:hAnsi="PT Astra Serif"/>
        </w:rPr>
        <w:t xml:space="preserve"> </w:t>
      </w:r>
      <w:r w:rsidR="00CE0FB7" w:rsidRPr="00E72EF5">
        <w:rPr>
          <w:rFonts w:ascii="PT Astra Serif" w:hAnsi="PT Astra Serif"/>
        </w:rPr>
        <w:t xml:space="preserve">Ульяновской области государственной функции в области регионального </w:t>
      </w:r>
      <w:r w:rsidR="008F33E2" w:rsidRPr="00E72EF5">
        <w:rPr>
          <w:rFonts w:ascii="PT Astra Serif" w:hAnsi="PT Astra Serif"/>
        </w:rPr>
        <w:t xml:space="preserve">государственного </w:t>
      </w:r>
      <w:r w:rsidR="00CE0FB7" w:rsidRPr="00E72EF5">
        <w:rPr>
          <w:rFonts w:ascii="PT Astra Serif" w:hAnsi="PT Astra Serif"/>
        </w:rPr>
        <w:t>контроля (надзора), а также выполнить требования федерального законодательства в данной сфере.</w:t>
      </w:r>
      <w:proofErr w:type="gramEnd"/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72EF5">
        <w:rPr>
          <w:rFonts w:ascii="PT Astra Serif" w:hAnsi="PT Astra Serif"/>
        </w:rPr>
        <w:t xml:space="preserve">Таким образом, оптимальным вариантом решения проблемы является принятие рассматриваемого </w:t>
      </w:r>
      <w:r w:rsidR="00690FD9" w:rsidRPr="00E72EF5">
        <w:rPr>
          <w:rFonts w:ascii="PT Astra Serif" w:hAnsi="PT Astra Serif"/>
        </w:rPr>
        <w:t xml:space="preserve">правового </w:t>
      </w:r>
      <w:r w:rsidRPr="00E72EF5">
        <w:rPr>
          <w:rFonts w:ascii="PT Astra Serif" w:hAnsi="PT Astra Serif"/>
        </w:rPr>
        <w:t>регулирования.</w:t>
      </w:r>
    </w:p>
    <w:p w:rsidR="00DA5377" w:rsidRPr="00E33251" w:rsidRDefault="00DA5377" w:rsidP="00DA537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DA5377" w:rsidRPr="00E33251" w:rsidRDefault="00DA5377" w:rsidP="00032DEE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032DEE" w:rsidRPr="00032DEE">
        <w:rPr>
          <w:rFonts w:ascii="PT Astra Serif" w:hAnsi="PT Astra Serif"/>
        </w:rPr>
        <w:t>юридически</w:t>
      </w:r>
      <w:r w:rsidR="00032DEE">
        <w:rPr>
          <w:rFonts w:ascii="PT Astra Serif" w:hAnsi="PT Astra Serif"/>
        </w:rPr>
        <w:t>е</w:t>
      </w:r>
      <w:r w:rsidR="00032DEE" w:rsidRPr="00032DEE">
        <w:rPr>
          <w:rFonts w:ascii="PT Astra Serif" w:hAnsi="PT Astra Serif"/>
        </w:rPr>
        <w:t xml:space="preserve"> лиц</w:t>
      </w:r>
      <w:r w:rsidR="00032DEE">
        <w:rPr>
          <w:rFonts w:ascii="PT Astra Serif" w:hAnsi="PT Astra Serif"/>
        </w:rPr>
        <w:t>а</w:t>
      </w:r>
      <w:r w:rsidR="00C178E5">
        <w:rPr>
          <w:rFonts w:ascii="PT Astra Serif" w:hAnsi="PT Astra Serif"/>
        </w:rPr>
        <w:t>,</w:t>
      </w:r>
      <w:r w:rsidR="00032DEE" w:rsidRPr="00032DEE">
        <w:rPr>
          <w:rFonts w:ascii="PT Astra Serif" w:hAnsi="PT Astra Serif"/>
        </w:rPr>
        <w:t xml:space="preserve"> индивидуальны</w:t>
      </w:r>
      <w:r w:rsidR="00032DEE">
        <w:rPr>
          <w:rFonts w:ascii="PT Astra Serif" w:hAnsi="PT Astra Serif"/>
        </w:rPr>
        <w:t>е</w:t>
      </w:r>
      <w:r w:rsidR="00032DEE" w:rsidRPr="00032DEE">
        <w:rPr>
          <w:rFonts w:ascii="PT Astra Serif" w:hAnsi="PT Astra Serif"/>
        </w:rPr>
        <w:t xml:space="preserve"> предпринимател</w:t>
      </w:r>
      <w:r w:rsidR="00032DEE">
        <w:rPr>
          <w:rFonts w:ascii="PT Astra Serif" w:hAnsi="PT Astra Serif"/>
        </w:rPr>
        <w:t>и</w:t>
      </w:r>
      <w:r w:rsidR="00C178E5">
        <w:rPr>
          <w:rFonts w:ascii="PT Astra Serif" w:hAnsi="PT Astra Serif"/>
        </w:rPr>
        <w:t>, граждане</w:t>
      </w:r>
      <w:r w:rsidRPr="00E33251">
        <w:rPr>
          <w:rFonts w:ascii="PT Astra Serif" w:hAnsi="PT Astra Serif"/>
        </w:rPr>
        <w:t>.</w:t>
      </w:r>
    </w:p>
    <w:p w:rsidR="006A0447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Количественная оценка непосредственных адресатов правового регулирования разработчиком акта</w:t>
      </w:r>
      <w:r w:rsidR="006A0447">
        <w:rPr>
          <w:rFonts w:ascii="PT Astra Serif" w:hAnsi="PT Astra Serif"/>
        </w:rPr>
        <w:t xml:space="preserve"> </w:t>
      </w:r>
      <w:r w:rsidRPr="00E33251">
        <w:rPr>
          <w:rFonts w:ascii="PT Astra Serif" w:hAnsi="PT Astra Serif"/>
        </w:rPr>
        <w:t>представлена</w:t>
      </w:r>
      <w:r w:rsidR="00692610">
        <w:rPr>
          <w:rFonts w:ascii="PT Astra Serif" w:hAnsi="PT Astra Serif"/>
        </w:rPr>
        <w:t xml:space="preserve"> в таблице ниже</w:t>
      </w:r>
      <w:r w:rsidR="006A0447">
        <w:rPr>
          <w:rFonts w:ascii="PT Astra Serif" w:hAnsi="PT Astra Serif"/>
        </w:rPr>
        <w:t>.</w:t>
      </w:r>
    </w:p>
    <w:p w:rsidR="00692610" w:rsidRDefault="00692610" w:rsidP="00692610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2415"/>
        <w:gridCol w:w="3444"/>
      </w:tblGrid>
      <w:tr w:rsidR="00692610" w:rsidRPr="00692610" w:rsidTr="0069261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10" w:rsidRPr="00692610" w:rsidRDefault="00692610" w:rsidP="0069261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92610">
              <w:rPr>
                <w:rFonts w:ascii="PT Astra Serif" w:hAnsi="PT Astra Serif"/>
                <w:b/>
                <w:sz w:val="24"/>
                <w:szCs w:val="24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10" w:rsidRPr="00692610" w:rsidRDefault="00692610" w:rsidP="0069261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92610">
              <w:rPr>
                <w:rFonts w:ascii="PT Astra Serif" w:hAnsi="PT Astra Serif"/>
                <w:b/>
                <w:sz w:val="24"/>
                <w:szCs w:val="24"/>
              </w:rPr>
              <w:t>Количество участников группы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10" w:rsidRPr="00692610" w:rsidRDefault="00692610" w:rsidP="0069261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92610">
              <w:rPr>
                <w:rFonts w:ascii="PT Astra Serif" w:hAnsi="PT Astra Serif"/>
                <w:b/>
                <w:sz w:val="24"/>
                <w:szCs w:val="24"/>
              </w:rPr>
              <w:t xml:space="preserve">Прогноз изменения количества </w:t>
            </w:r>
            <w:r w:rsidRPr="00692610">
              <w:rPr>
                <w:rFonts w:ascii="PT Astra Serif" w:hAnsi="PT Astra Serif"/>
                <w:b/>
                <w:sz w:val="24"/>
                <w:szCs w:val="24"/>
              </w:rPr>
              <w:br/>
              <w:t>в среднесрочном периоде</w:t>
            </w:r>
          </w:p>
        </w:tc>
      </w:tr>
      <w:tr w:rsidR="00692610" w:rsidRPr="00692610" w:rsidTr="0069261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9" w:rsidRDefault="008E5E79" w:rsidP="008E5E7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Товариществ собственников жилья</w:t>
            </w:r>
          </w:p>
          <w:p w:rsidR="008E5E79" w:rsidRDefault="008E5E79" w:rsidP="008E5E7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610" w:rsidRDefault="008E5E79" w:rsidP="008E5E7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Жилищные, ж</w:t>
            </w:r>
            <w:r w:rsidR="008F33E2">
              <w:rPr>
                <w:rFonts w:ascii="PT Astra Serif" w:hAnsi="PT Astra Serif"/>
                <w:sz w:val="24"/>
                <w:szCs w:val="24"/>
              </w:rPr>
              <w:t>илищно-строительные</w:t>
            </w:r>
            <w:r>
              <w:rPr>
                <w:rFonts w:ascii="PT Astra Serif" w:hAnsi="PT Astra Serif"/>
                <w:sz w:val="24"/>
                <w:szCs w:val="24"/>
              </w:rPr>
              <w:t>, иные специализированные потребительские кооперативы</w:t>
            </w:r>
          </w:p>
          <w:p w:rsidR="008E5E79" w:rsidRDefault="008E5E79" w:rsidP="008E5E7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E5E79" w:rsidRPr="00692610" w:rsidRDefault="008E5E79" w:rsidP="008E5E7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Ресурсоснабжающие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0" w:rsidRDefault="008F33E2" w:rsidP="006926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8E5E79">
              <w:rPr>
                <w:rFonts w:ascii="PT Astra Serif" w:hAnsi="PT Astra Serif"/>
                <w:sz w:val="24"/>
                <w:szCs w:val="24"/>
              </w:rPr>
              <w:t>76</w:t>
            </w:r>
          </w:p>
          <w:p w:rsidR="008E5E79" w:rsidRDefault="008E5E79" w:rsidP="006926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5E79" w:rsidRDefault="008E5E79" w:rsidP="006926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143</w:t>
            </w:r>
          </w:p>
          <w:p w:rsidR="008E5E79" w:rsidRDefault="008E5E79" w:rsidP="006926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5E79" w:rsidRDefault="008E5E79" w:rsidP="006926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5E79" w:rsidRDefault="008E5E79" w:rsidP="006926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5E79" w:rsidRDefault="008E5E79" w:rsidP="006926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E5E79" w:rsidRPr="00692610" w:rsidRDefault="008E5E79" w:rsidP="006926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196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10" w:rsidRPr="00692610" w:rsidRDefault="00692610" w:rsidP="006926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610">
              <w:rPr>
                <w:rFonts w:ascii="PT Astra Serif" w:hAnsi="PT Astra Serif"/>
                <w:sz w:val="24"/>
                <w:szCs w:val="24"/>
              </w:rPr>
              <w:t>Увеличение числа адресатов правового регулирования в среднесрочном периоде не прогнозируется</w:t>
            </w:r>
          </w:p>
        </w:tc>
      </w:tr>
    </w:tbl>
    <w:p w:rsidR="00DA5377" w:rsidRPr="00E33251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532365" w:rsidRPr="00532365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2365">
        <w:rPr>
          <w:rFonts w:ascii="PT Astra Serif" w:hAnsi="PT Astra Serif"/>
        </w:rPr>
        <w:t>В рамках публичных обсуждений, после окончания этапа обсужде</w:t>
      </w:r>
      <w:r w:rsidR="005C1003">
        <w:rPr>
          <w:rFonts w:ascii="PT Astra Serif" w:hAnsi="PT Astra Serif"/>
        </w:rPr>
        <w:t xml:space="preserve">ния </w:t>
      </w:r>
      <w:r w:rsidR="00E76E8F">
        <w:rPr>
          <w:rFonts w:ascii="PT Astra Serif" w:hAnsi="PT Astra Serif"/>
        </w:rPr>
        <w:t>концепции регулирования (с 17</w:t>
      </w:r>
      <w:r w:rsidRPr="00532365">
        <w:rPr>
          <w:rFonts w:ascii="PT Astra Serif" w:hAnsi="PT Astra Serif"/>
        </w:rPr>
        <w:t>.</w:t>
      </w:r>
      <w:r w:rsidR="005C1003">
        <w:rPr>
          <w:rFonts w:ascii="PT Astra Serif" w:hAnsi="PT Astra Serif"/>
        </w:rPr>
        <w:t>1</w:t>
      </w:r>
      <w:r w:rsidR="00E76E8F">
        <w:rPr>
          <w:rFonts w:ascii="PT Astra Serif" w:hAnsi="PT Astra Serif"/>
        </w:rPr>
        <w:t>1</w:t>
      </w:r>
      <w:r w:rsidRPr="00532365">
        <w:rPr>
          <w:rFonts w:ascii="PT Astra Serif" w:hAnsi="PT Astra Serif"/>
        </w:rPr>
        <w:t xml:space="preserve">.2021 по </w:t>
      </w:r>
      <w:r w:rsidR="00E76E8F">
        <w:rPr>
          <w:rFonts w:ascii="PT Astra Serif" w:hAnsi="PT Astra Serif"/>
        </w:rPr>
        <w:t>01</w:t>
      </w:r>
      <w:r w:rsidRPr="00532365">
        <w:rPr>
          <w:rFonts w:ascii="PT Astra Serif" w:hAnsi="PT Astra Serif"/>
        </w:rPr>
        <w:t>.</w:t>
      </w:r>
      <w:r w:rsidR="005C1003">
        <w:rPr>
          <w:rFonts w:ascii="PT Astra Serif" w:hAnsi="PT Astra Serif"/>
        </w:rPr>
        <w:t>1</w:t>
      </w:r>
      <w:r w:rsidR="00E76E8F">
        <w:rPr>
          <w:rFonts w:ascii="PT Astra Serif" w:hAnsi="PT Astra Serif"/>
        </w:rPr>
        <w:t>2</w:t>
      </w:r>
      <w:r w:rsidRPr="00532365">
        <w:rPr>
          <w:rFonts w:ascii="PT Astra Serif" w:hAnsi="PT Astra Serif"/>
        </w:rPr>
        <w:t xml:space="preserve">.2021), разработчиком акта проект акта и </w:t>
      </w:r>
      <w:r w:rsidR="007F0052">
        <w:rPr>
          <w:rFonts w:ascii="PT Astra Serif" w:hAnsi="PT Astra Serif"/>
        </w:rPr>
        <w:t xml:space="preserve">сводный отчёт были размещены с </w:t>
      </w:r>
      <w:r w:rsidR="00D4482D">
        <w:rPr>
          <w:rFonts w:ascii="PT Astra Serif" w:hAnsi="PT Astra Serif"/>
        </w:rPr>
        <w:t>02</w:t>
      </w:r>
      <w:r w:rsidR="005C1003">
        <w:rPr>
          <w:rFonts w:ascii="PT Astra Serif" w:hAnsi="PT Astra Serif"/>
        </w:rPr>
        <w:t>.1</w:t>
      </w:r>
      <w:r w:rsidR="00E76E8F">
        <w:rPr>
          <w:rFonts w:ascii="PT Astra Serif" w:hAnsi="PT Astra Serif"/>
        </w:rPr>
        <w:t>2</w:t>
      </w:r>
      <w:r w:rsidRPr="00532365">
        <w:rPr>
          <w:rFonts w:ascii="PT Astra Serif" w:hAnsi="PT Astra Serif"/>
        </w:rPr>
        <w:t xml:space="preserve">.2021 по </w:t>
      </w:r>
      <w:r w:rsidR="00D4482D">
        <w:rPr>
          <w:rFonts w:ascii="PT Astra Serif" w:hAnsi="PT Astra Serif"/>
        </w:rPr>
        <w:t>16</w:t>
      </w:r>
      <w:r w:rsidRPr="00532365">
        <w:rPr>
          <w:rFonts w:ascii="PT Astra Serif" w:hAnsi="PT Astra Serif"/>
        </w:rPr>
        <w:t>.</w:t>
      </w:r>
      <w:r w:rsidR="005C1003">
        <w:rPr>
          <w:rFonts w:ascii="PT Astra Serif" w:hAnsi="PT Astra Serif"/>
        </w:rPr>
        <w:t>1</w:t>
      </w:r>
      <w:r w:rsidR="00E76E8F">
        <w:rPr>
          <w:rFonts w:ascii="PT Astra Serif" w:hAnsi="PT Astra Serif"/>
        </w:rPr>
        <w:t>2</w:t>
      </w:r>
      <w:r w:rsidRPr="00532365">
        <w:rPr>
          <w:rFonts w:ascii="PT Astra Serif" w:hAnsi="PT Astra Serif"/>
        </w:rPr>
        <w:t>.2021 на специализированном ресурсе для проведения публичных обсуждений http://regulation.ulgov.ru.</w:t>
      </w:r>
    </w:p>
    <w:p w:rsidR="00532365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532365">
        <w:rPr>
          <w:rFonts w:ascii="PT Astra Serif" w:hAnsi="PT Astra Serif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936293" w:rsidRDefault="00936293" w:rsidP="0093629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8. Выводы по результатам проведения оценки регулирующего воздействия.</w:t>
      </w:r>
    </w:p>
    <w:p w:rsidR="00DA5377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E33251">
        <w:rPr>
          <w:rFonts w:ascii="PT Astra Serif" w:hAnsi="PT Astra Serif"/>
          <w:color w:val="000000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</w:t>
      </w:r>
      <w:r w:rsidR="00E33251">
        <w:rPr>
          <w:rFonts w:ascii="PT Astra Serif" w:hAnsi="PT Astra Serif"/>
          <w:color w:val="000000"/>
        </w:rPr>
        <w:t> </w:t>
      </w:r>
      <w:r w:rsidRPr="00E33251">
        <w:rPr>
          <w:rFonts w:ascii="PT Astra Serif" w:hAnsi="PT Astra Serif"/>
          <w:color w:val="000000"/>
        </w:rPr>
        <w:t xml:space="preserve">ограничения для субъектов предпринимательской и </w:t>
      </w:r>
      <w:r w:rsidR="00A843D3">
        <w:rPr>
          <w:rFonts w:ascii="PT Astra Serif" w:hAnsi="PT Astra Serif"/>
          <w:color w:val="000000"/>
        </w:rPr>
        <w:t xml:space="preserve">иной экономической </w:t>
      </w:r>
      <w:r w:rsidRPr="00E33251">
        <w:rPr>
          <w:rFonts w:ascii="PT Astra Serif" w:hAnsi="PT Astra Serif"/>
          <w:color w:val="000000"/>
        </w:rPr>
        <w:t xml:space="preserve"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A843D3">
        <w:rPr>
          <w:rFonts w:ascii="PT Astra Serif" w:hAnsi="PT Astra Serif"/>
          <w:color w:val="000000"/>
        </w:rPr>
        <w:t>иной экономической</w:t>
      </w:r>
      <w:r w:rsidRPr="00E33251">
        <w:rPr>
          <w:rFonts w:ascii="PT Astra Serif" w:hAnsi="PT Astra Serif"/>
          <w:color w:val="000000"/>
        </w:rPr>
        <w:t xml:space="preserve"> деятельности и областного бюджета Ульяновской области.</w:t>
      </w:r>
    </w:p>
    <w:p w:rsidR="00547995" w:rsidRDefault="00547995" w:rsidP="001D700D">
      <w:pPr>
        <w:rPr>
          <w:rFonts w:ascii="PT Astra Serif" w:hAnsi="PT Astra Serif"/>
        </w:rPr>
      </w:pPr>
    </w:p>
    <w:p w:rsidR="00B83933" w:rsidRDefault="00B83933" w:rsidP="001D700D">
      <w:pPr>
        <w:rPr>
          <w:rFonts w:ascii="PT Astra Serif" w:hAnsi="PT Astra Serif"/>
        </w:rPr>
      </w:pPr>
    </w:p>
    <w:p w:rsidR="00B83933" w:rsidRPr="00E33251" w:rsidRDefault="00B83933" w:rsidP="001D700D">
      <w:pPr>
        <w:rPr>
          <w:rFonts w:ascii="PT Astra Serif" w:hAnsi="PT Astra Serif"/>
        </w:rPr>
      </w:pPr>
    </w:p>
    <w:p w:rsidR="00342F5E" w:rsidRPr="00E33251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E33251">
        <w:rPr>
          <w:rFonts w:ascii="PT Astra Serif" w:eastAsia="Calibri" w:hAnsi="PT Astra Serif" w:cs="Calibri"/>
        </w:rPr>
        <w:t>Начальник</w:t>
      </w:r>
      <w:r w:rsidR="00964242" w:rsidRPr="00E33251">
        <w:rPr>
          <w:rFonts w:ascii="PT Astra Serif" w:eastAsia="Calibri" w:hAnsi="PT Astra Serif" w:cs="Calibri"/>
        </w:rPr>
        <w:t xml:space="preserve"> </w:t>
      </w:r>
      <w:r w:rsidRPr="00E33251">
        <w:rPr>
          <w:rFonts w:ascii="PT Astra Serif" w:eastAsia="Calibri" w:hAnsi="PT Astra Serif" w:cs="Calibri"/>
        </w:rPr>
        <w:t>управления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контроля</w:t>
      </w:r>
      <w:r w:rsidRPr="00E33251">
        <w:rPr>
          <w:rFonts w:ascii="PT Astra Serif" w:eastAsia="PT Astra Serif" w:hAnsi="PT Astra Serif" w:cs="PT Astra Serif"/>
        </w:rPr>
        <w:t xml:space="preserve"> (</w:t>
      </w:r>
      <w:r w:rsidRPr="00E33251">
        <w:rPr>
          <w:rFonts w:ascii="PT Astra Serif" w:eastAsia="Calibri" w:hAnsi="PT Astra Serif" w:cs="Calibri"/>
        </w:rPr>
        <w:t>надзора</w:t>
      </w:r>
      <w:r w:rsidRPr="00E33251">
        <w:rPr>
          <w:rFonts w:ascii="PT Astra Serif" w:eastAsia="PT Astra Serif" w:hAnsi="PT Astra Serif" w:cs="PT Astra Serif"/>
        </w:rPr>
        <w:t>)</w:t>
      </w:r>
    </w:p>
    <w:p w:rsidR="00964242" w:rsidRPr="00E33251" w:rsidRDefault="00342F5E" w:rsidP="00342F5E">
      <w:pPr>
        <w:jc w:val="both"/>
        <w:rPr>
          <w:rFonts w:ascii="PT Astra Serif" w:eastAsia="Calibri" w:hAnsi="PT Astra Serif" w:cs="Calibri"/>
        </w:rPr>
      </w:pPr>
      <w:r w:rsidRPr="00E33251">
        <w:rPr>
          <w:rFonts w:ascii="PT Astra Serif" w:eastAsia="Calibri" w:hAnsi="PT Astra Serif" w:cs="Calibri"/>
        </w:rPr>
        <w:t>и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регуляторной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политики</w:t>
      </w:r>
      <w:r w:rsidR="00964242" w:rsidRPr="00E33251">
        <w:rPr>
          <w:rFonts w:ascii="PT Astra Serif" w:eastAsia="Calibri" w:hAnsi="PT Astra Serif" w:cs="Calibri"/>
        </w:rPr>
        <w:t xml:space="preserve"> </w:t>
      </w:r>
      <w:r w:rsidRPr="00E33251">
        <w:rPr>
          <w:rFonts w:ascii="PT Astra Serif" w:eastAsia="Calibri" w:hAnsi="PT Astra Serif" w:cs="Calibri"/>
        </w:rPr>
        <w:t>администрации</w:t>
      </w:r>
    </w:p>
    <w:p w:rsidR="00342F5E" w:rsidRPr="00E33251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E33251">
        <w:rPr>
          <w:rFonts w:ascii="PT Astra Serif" w:eastAsia="Calibri" w:hAnsi="PT Astra Serif" w:cs="Calibri"/>
        </w:rPr>
        <w:t>Губернатора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Ульяновской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области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="00964242"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E33251">
        <w:rPr>
          <w:rFonts w:ascii="PT Astra Serif" w:eastAsia="Calibri" w:hAnsi="PT Astra Serif" w:cs="Calibri"/>
        </w:rPr>
        <w:t>Ю</w:t>
      </w:r>
      <w:r w:rsidRPr="00E33251">
        <w:rPr>
          <w:rFonts w:ascii="PT Astra Serif" w:eastAsia="PT Astra Serif" w:hAnsi="PT Astra Serif" w:cs="PT Astra Serif"/>
        </w:rPr>
        <w:t>.</w:t>
      </w:r>
      <w:r w:rsidRPr="00E33251">
        <w:rPr>
          <w:rFonts w:ascii="PT Astra Serif" w:eastAsia="Calibri" w:hAnsi="PT Astra Serif" w:cs="Calibri"/>
        </w:rPr>
        <w:t>В</w:t>
      </w:r>
      <w:r w:rsidRPr="00E33251">
        <w:rPr>
          <w:rFonts w:ascii="PT Astra Serif" w:eastAsia="PT Astra Serif" w:hAnsi="PT Astra Serif" w:cs="PT Astra Serif"/>
        </w:rPr>
        <w:t>.</w:t>
      </w:r>
      <w:r w:rsidRPr="00E33251">
        <w:rPr>
          <w:rFonts w:ascii="PT Astra Serif" w:eastAsia="Calibri" w:hAnsi="PT Astra Serif" w:cs="Calibri"/>
        </w:rPr>
        <w:t>Казаков</w:t>
      </w:r>
    </w:p>
    <w:p w:rsidR="005B40DC" w:rsidRPr="00E33251" w:rsidRDefault="00342F5E" w:rsidP="00342F5E">
      <w:pPr>
        <w:jc w:val="center"/>
        <w:rPr>
          <w:rFonts w:ascii="PT Astra Serif" w:hAnsi="PT Astra Serif"/>
        </w:rPr>
      </w:pPr>
      <w:r w:rsidRPr="00E33251">
        <w:rPr>
          <w:rFonts w:ascii="PT Astra Serif" w:hAnsi="PT Astra Serif"/>
          <w:color w:val="A6A6A6"/>
          <w:lang w:val="uk-UA"/>
        </w:rPr>
        <w:t xml:space="preserve"> </w:t>
      </w:r>
      <w:r w:rsidR="005B40DC" w:rsidRPr="00E33251">
        <w:rPr>
          <w:rFonts w:ascii="PT Astra Serif" w:hAnsi="PT Astra Serif"/>
          <w:color w:val="A6A6A6"/>
          <w:lang w:val="uk-UA"/>
        </w:rPr>
        <w:t>[МЕСТО ДЛЯ ПОДПИСИ]</w:t>
      </w:r>
    </w:p>
    <w:p w:rsidR="00DE62FA" w:rsidRDefault="00DE62FA" w:rsidP="00964242">
      <w:pPr>
        <w:jc w:val="both"/>
        <w:rPr>
          <w:rFonts w:ascii="PT Astra Serif" w:hAnsi="PT Astra Serif"/>
          <w:sz w:val="20"/>
          <w:szCs w:val="20"/>
        </w:rPr>
      </w:pPr>
    </w:p>
    <w:p w:rsidR="00851389" w:rsidRDefault="00851389" w:rsidP="00964242">
      <w:pPr>
        <w:jc w:val="both"/>
        <w:rPr>
          <w:rFonts w:ascii="PT Astra Serif" w:hAnsi="PT Astra Serif"/>
          <w:sz w:val="20"/>
          <w:szCs w:val="20"/>
        </w:rPr>
      </w:pPr>
    </w:p>
    <w:p w:rsidR="00851389" w:rsidRDefault="00851389" w:rsidP="00964242">
      <w:pPr>
        <w:jc w:val="both"/>
        <w:rPr>
          <w:rFonts w:ascii="PT Astra Serif" w:hAnsi="PT Astra Serif"/>
          <w:sz w:val="20"/>
          <w:szCs w:val="20"/>
        </w:rPr>
      </w:pPr>
    </w:p>
    <w:p w:rsidR="00851389" w:rsidRDefault="00851389" w:rsidP="00964242">
      <w:pPr>
        <w:jc w:val="both"/>
        <w:rPr>
          <w:rFonts w:ascii="PT Astra Serif" w:hAnsi="PT Astra Serif"/>
          <w:sz w:val="20"/>
          <w:szCs w:val="20"/>
        </w:rPr>
      </w:pPr>
    </w:p>
    <w:p w:rsidR="00851389" w:rsidRDefault="00851389" w:rsidP="00964242">
      <w:pPr>
        <w:jc w:val="both"/>
        <w:rPr>
          <w:rFonts w:ascii="PT Astra Serif" w:hAnsi="PT Astra Serif"/>
          <w:sz w:val="20"/>
          <w:szCs w:val="20"/>
        </w:rPr>
      </w:pPr>
    </w:p>
    <w:p w:rsidR="00851389" w:rsidRDefault="00851389" w:rsidP="00964242">
      <w:pPr>
        <w:jc w:val="both"/>
        <w:rPr>
          <w:rFonts w:ascii="PT Astra Serif" w:hAnsi="PT Astra Serif"/>
          <w:sz w:val="20"/>
          <w:szCs w:val="20"/>
        </w:rPr>
      </w:pPr>
    </w:p>
    <w:p w:rsidR="00851389" w:rsidRDefault="00851389" w:rsidP="00964242">
      <w:pPr>
        <w:jc w:val="both"/>
        <w:rPr>
          <w:rFonts w:ascii="PT Astra Serif" w:hAnsi="PT Astra Serif"/>
          <w:sz w:val="20"/>
          <w:szCs w:val="20"/>
        </w:rPr>
      </w:pPr>
    </w:p>
    <w:p w:rsidR="00851389" w:rsidRDefault="00851389" w:rsidP="00964242">
      <w:pPr>
        <w:jc w:val="both"/>
        <w:rPr>
          <w:rFonts w:ascii="PT Astra Serif" w:hAnsi="PT Astra Serif"/>
          <w:sz w:val="20"/>
          <w:szCs w:val="20"/>
        </w:rPr>
      </w:pPr>
    </w:p>
    <w:p w:rsidR="00851389" w:rsidRDefault="00851389" w:rsidP="00964242">
      <w:pPr>
        <w:jc w:val="both"/>
        <w:rPr>
          <w:rFonts w:ascii="PT Astra Serif" w:hAnsi="PT Astra Serif"/>
          <w:sz w:val="20"/>
          <w:szCs w:val="20"/>
        </w:rPr>
      </w:pPr>
    </w:p>
    <w:p w:rsidR="00851389" w:rsidRDefault="00851389" w:rsidP="00964242">
      <w:pPr>
        <w:jc w:val="both"/>
        <w:rPr>
          <w:rFonts w:ascii="PT Astra Serif" w:hAnsi="PT Astra Serif"/>
          <w:sz w:val="20"/>
          <w:szCs w:val="20"/>
        </w:rPr>
      </w:pPr>
    </w:p>
    <w:p w:rsidR="00851389" w:rsidRDefault="00851389" w:rsidP="00964242">
      <w:pPr>
        <w:jc w:val="both"/>
        <w:rPr>
          <w:rFonts w:ascii="PT Astra Serif" w:hAnsi="PT Astra Serif"/>
          <w:sz w:val="20"/>
          <w:szCs w:val="20"/>
        </w:rPr>
      </w:pPr>
    </w:p>
    <w:p w:rsidR="00851389" w:rsidRDefault="00851389" w:rsidP="00964242">
      <w:pPr>
        <w:jc w:val="both"/>
        <w:rPr>
          <w:rFonts w:ascii="PT Astra Serif" w:hAnsi="PT Astra Serif"/>
          <w:sz w:val="20"/>
          <w:szCs w:val="20"/>
        </w:rPr>
      </w:pPr>
    </w:p>
    <w:p w:rsidR="00851389" w:rsidRDefault="00851389" w:rsidP="00964242">
      <w:pPr>
        <w:jc w:val="both"/>
        <w:rPr>
          <w:rFonts w:ascii="PT Astra Serif" w:hAnsi="PT Astra Serif"/>
          <w:sz w:val="20"/>
          <w:szCs w:val="20"/>
        </w:rPr>
      </w:pPr>
    </w:p>
    <w:p w:rsidR="00851389" w:rsidRDefault="00851389" w:rsidP="00964242">
      <w:pPr>
        <w:jc w:val="both"/>
        <w:rPr>
          <w:rFonts w:ascii="PT Astra Serif" w:hAnsi="PT Astra Serif"/>
          <w:sz w:val="20"/>
          <w:szCs w:val="20"/>
        </w:rPr>
      </w:pPr>
    </w:p>
    <w:p w:rsidR="00851389" w:rsidRDefault="00851389" w:rsidP="00964242">
      <w:pPr>
        <w:jc w:val="both"/>
        <w:rPr>
          <w:rFonts w:ascii="PT Astra Serif" w:hAnsi="PT Astra Serif"/>
          <w:sz w:val="20"/>
          <w:szCs w:val="20"/>
        </w:rPr>
      </w:pPr>
    </w:p>
    <w:p w:rsidR="00851389" w:rsidRDefault="00851389" w:rsidP="00964242">
      <w:pPr>
        <w:jc w:val="both"/>
        <w:rPr>
          <w:rFonts w:ascii="PT Astra Serif" w:hAnsi="PT Astra Serif"/>
          <w:sz w:val="20"/>
          <w:szCs w:val="20"/>
        </w:rPr>
      </w:pPr>
    </w:p>
    <w:p w:rsidR="00851389" w:rsidRDefault="00851389" w:rsidP="00964242">
      <w:pPr>
        <w:jc w:val="both"/>
        <w:rPr>
          <w:rFonts w:ascii="PT Astra Serif" w:hAnsi="PT Astra Serif"/>
          <w:sz w:val="20"/>
          <w:szCs w:val="20"/>
        </w:rPr>
      </w:pPr>
    </w:p>
    <w:p w:rsidR="00851389" w:rsidRDefault="00851389" w:rsidP="00964242">
      <w:pPr>
        <w:jc w:val="both"/>
        <w:rPr>
          <w:rFonts w:ascii="PT Astra Serif" w:hAnsi="PT Astra Serif"/>
          <w:sz w:val="20"/>
          <w:szCs w:val="20"/>
        </w:rPr>
      </w:pPr>
    </w:p>
    <w:p w:rsidR="00851389" w:rsidRDefault="00851389" w:rsidP="00964242">
      <w:pPr>
        <w:jc w:val="both"/>
        <w:rPr>
          <w:rFonts w:ascii="PT Astra Serif" w:hAnsi="PT Astra Serif"/>
          <w:sz w:val="20"/>
          <w:szCs w:val="20"/>
        </w:rPr>
      </w:pPr>
    </w:p>
    <w:p w:rsidR="00851389" w:rsidRDefault="00851389" w:rsidP="00964242">
      <w:pPr>
        <w:jc w:val="both"/>
        <w:rPr>
          <w:rFonts w:ascii="PT Astra Serif" w:hAnsi="PT Astra Serif"/>
          <w:sz w:val="20"/>
          <w:szCs w:val="20"/>
        </w:rPr>
      </w:pPr>
    </w:p>
    <w:p w:rsidR="00851389" w:rsidRDefault="00851389" w:rsidP="00964242">
      <w:pPr>
        <w:jc w:val="both"/>
        <w:rPr>
          <w:rFonts w:ascii="PT Astra Serif" w:hAnsi="PT Astra Serif"/>
          <w:sz w:val="20"/>
          <w:szCs w:val="20"/>
        </w:rPr>
      </w:pPr>
    </w:p>
    <w:p w:rsidR="00851389" w:rsidRDefault="00851389" w:rsidP="00964242">
      <w:pPr>
        <w:jc w:val="both"/>
        <w:rPr>
          <w:rFonts w:ascii="PT Astra Serif" w:hAnsi="PT Astra Serif"/>
          <w:sz w:val="20"/>
          <w:szCs w:val="20"/>
        </w:rPr>
      </w:pPr>
    </w:p>
    <w:p w:rsidR="00851389" w:rsidRDefault="00851389" w:rsidP="00964242">
      <w:pPr>
        <w:jc w:val="both"/>
        <w:rPr>
          <w:rFonts w:ascii="PT Astra Serif" w:hAnsi="PT Astra Serif"/>
          <w:sz w:val="20"/>
          <w:szCs w:val="20"/>
        </w:rPr>
      </w:pPr>
    </w:p>
    <w:p w:rsidR="00851389" w:rsidRDefault="00851389" w:rsidP="00964242">
      <w:pPr>
        <w:jc w:val="both"/>
        <w:rPr>
          <w:rFonts w:ascii="PT Astra Serif" w:hAnsi="PT Astra Serif"/>
          <w:sz w:val="20"/>
          <w:szCs w:val="20"/>
        </w:rPr>
      </w:pPr>
    </w:p>
    <w:p w:rsidR="00851389" w:rsidRDefault="00851389" w:rsidP="00964242">
      <w:pPr>
        <w:jc w:val="both"/>
        <w:rPr>
          <w:rFonts w:ascii="PT Astra Serif" w:hAnsi="PT Astra Serif"/>
          <w:sz w:val="20"/>
          <w:szCs w:val="20"/>
        </w:rPr>
      </w:pPr>
    </w:p>
    <w:p w:rsidR="00851389" w:rsidRDefault="00851389" w:rsidP="00964242">
      <w:pPr>
        <w:jc w:val="both"/>
        <w:rPr>
          <w:rFonts w:ascii="PT Astra Serif" w:hAnsi="PT Astra Serif"/>
          <w:sz w:val="20"/>
          <w:szCs w:val="20"/>
        </w:rPr>
      </w:pPr>
    </w:p>
    <w:p w:rsidR="00851389" w:rsidRDefault="00851389" w:rsidP="00964242">
      <w:pPr>
        <w:jc w:val="both"/>
        <w:rPr>
          <w:rFonts w:ascii="PT Astra Serif" w:hAnsi="PT Astra Serif"/>
          <w:sz w:val="20"/>
          <w:szCs w:val="20"/>
        </w:rPr>
      </w:pPr>
    </w:p>
    <w:p w:rsidR="00851389" w:rsidRDefault="00851389" w:rsidP="00964242">
      <w:pPr>
        <w:jc w:val="both"/>
        <w:rPr>
          <w:rFonts w:ascii="PT Astra Serif" w:hAnsi="PT Astra Serif"/>
          <w:sz w:val="20"/>
          <w:szCs w:val="20"/>
        </w:rPr>
      </w:pPr>
    </w:p>
    <w:p w:rsidR="00851389" w:rsidRDefault="00851389" w:rsidP="00964242">
      <w:pPr>
        <w:jc w:val="both"/>
        <w:rPr>
          <w:rFonts w:ascii="PT Astra Serif" w:hAnsi="PT Astra Serif"/>
          <w:sz w:val="20"/>
          <w:szCs w:val="20"/>
        </w:rPr>
      </w:pPr>
    </w:p>
    <w:p w:rsidR="00851389" w:rsidRDefault="00851389" w:rsidP="00964242">
      <w:pPr>
        <w:jc w:val="both"/>
        <w:rPr>
          <w:rFonts w:ascii="PT Astra Serif" w:hAnsi="PT Astra Serif"/>
          <w:sz w:val="20"/>
          <w:szCs w:val="20"/>
        </w:rPr>
      </w:pPr>
    </w:p>
    <w:p w:rsidR="00851389" w:rsidRDefault="00851389" w:rsidP="00964242">
      <w:pPr>
        <w:jc w:val="both"/>
        <w:rPr>
          <w:rFonts w:ascii="PT Astra Serif" w:hAnsi="PT Astra Serif"/>
          <w:sz w:val="20"/>
          <w:szCs w:val="20"/>
        </w:rPr>
      </w:pPr>
    </w:p>
    <w:p w:rsidR="00851389" w:rsidRDefault="00851389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0655FE" w:rsidRDefault="000655FE" w:rsidP="00964242">
      <w:pPr>
        <w:jc w:val="both"/>
        <w:rPr>
          <w:rFonts w:ascii="PT Astra Serif" w:hAnsi="PT Astra Serif"/>
          <w:sz w:val="20"/>
          <w:szCs w:val="20"/>
        </w:rPr>
      </w:pPr>
    </w:p>
    <w:p w:rsidR="00B62FCE" w:rsidRPr="00E33251" w:rsidRDefault="00B62FCE" w:rsidP="00964242">
      <w:pPr>
        <w:jc w:val="both"/>
        <w:rPr>
          <w:rFonts w:ascii="PT Astra Serif" w:hAnsi="PT Astra Serif"/>
          <w:sz w:val="20"/>
          <w:szCs w:val="20"/>
        </w:rPr>
      </w:pPr>
      <w:r w:rsidRPr="00E33251"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58-91-95</w:t>
      </w:r>
    </w:p>
    <w:sectPr w:rsidR="00964242" w:rsidRPr="00E33251" w:rsidSect="00424FB5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99" w:rsidRDefault="00A45299" w:rsidP="00424FB5">
      <w:r>
        <w:separator/>
      </w:r>
    </w:p>
  </w:endnote>
  <w:endnote w:type="continuationSeparator" w:id="0">
    <w:p w:rsidR="00A45299" w:rsidRDefault="00A45299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99" w:rsidRDefault="00A45299" w:rsidP="00424FB5">
      <w:r>
        <w:separator/>
      </w:r>
    </w:p>
  </w:footnote>
  <w:footnote w:type="continuationSeparator" w:id="0">
    <w:p w:rsidR="00A45299" w:rsidRDefault="00A45299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BC" w:rsidRPr="005A0A94" w:rsidRDefault="00132EBC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AF6627">
      <w:rPr>
        <w:rFonts w:ascii="PT Astra Serif" w:hAnsi="PT Astra Serif"/>
        <w:noProof/>
      </w:rPr>
      <w:t>3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25CDE"/>
    <w:rsid w:val="00032859"/>
    <w:rsid w:val="00032DEE"/>
    <w:rsid w:val="000626B5"/>
    <w:rsid w:val="000655FE"/>
    <w:rsid w:val="00075BD2"/>
    <w:rsid w:val="000A1A59"/>
    <w:rsid w:val="000A3370"/>
    <w:rsid w:val="000A35A0"/>
    <w:rsid w:val="000A7CB5"/>
    <w:rsid w:val="000B33DF"/>
    <w:rsid w:val="000B3A69"/>
    <w:rsid w:val="000B46CB"/>
    <w:rsid w:val="000C0D01"/>
    <w:rsid w:val="000E3C0D"/>
    <w:rsid w:val="000F426B"/>
    <w:rsid w:val="00131174"/>
    <w:rsid w:val="001323FF"/>
    <w:rsid w:val="00132EBC"/>
    <w:rsid w:val="00137BA8"/>
    <w:rsid w:val="00142478"/>
    <w:rsid w:val="00147091"/>
    <w:rsid w:val="00147A73"/>
    <w:rsid w:val="001513C4"/>
    <w:rsid w:val="00151592"/>
    <w:rsid w:val="00163535"/>
    <w:rsid w:val="0016433C"/>
    <w:rsid w:val="00170311"/>
    <w:rsid w:val="0017226D"/>
    <w:rsid w:val="00184853"/>
    <w:rsid w:val="00184923"/>
    <w:rsid w:val="001865CB"/>
    <w:rsid w:val="001B1B26"/>
    <w:rsid w:val="001C521B"/>
    <w:rsid w:val="001D700D"/>
    <w:rsid w:val="001D7C48"/>
    <w:rsid w:val="001E5EF6"/>
    <w:rsid w:val="00217A25"/>
    <w:rsid w:val="00234336"/>
    <w:rsid w:val="00234372"/>
    <w:rsid w:val="002447C1"/>
    <w:rsid w:val="00257389"/>
    <w:rsid w:val="0026078F"/>
    <w:rsid w:val="002608FD"/>
    <w:rsid w:val="002644D8"/>
    <w:rsid w:val="002647EF"/>
    <w:rsid w:val="00287979"/>
    <w:rsid w:val="0029018C"/>
    <w:rsid w:val="002920B4"/>
    <w:rsid w:val="0029684E"/>
    <w:rsid w:val="002B567E"/>
    <w:rsid w:val="002D67DA"/>
    <w:rsid w:val="002E3604"/>
    <w:rsid w:val="002E5EE3"/>
    <w:rsid w:val="002F2F3C"/>
    <w:rsid w:val="00302DBC"/>
    <w:rsid w:val="00312EB8"/>
    <w:rsid w:val="00334CF9"/>
    <w:rsid w:val="00342F5E"/>
    <w:rsid w:val="00347460"/>
    <w:rsid w:val="003646FF"/>
    <w:rsid w:val="003655B6"/>
    <w:rsid w:val="00366485"/>
    <w:rsid w:val="003672B4"/>
    <w:rsid w:val="00371E60"/>
    <w:rsid w:val="00372CD4"/>
    <w:rsid w:val="00381E7B"/>
    <w:rsid w:val="0038567E"/>
    <w:rsid w:val="003B2889"/>
    <w:rsid w:val="003B661B"/>
    <w:rsid w:val="003C3768"/>
    <w:rsid w:val="003C53BF"/>
    <w:rsid w:val="003E3BD9"/>
    <w:rsid w:val="003F3EF4"/>
    <w:rsid w:val="003F4F30"/>
    <w:rsid w:val="00400BB0"/>
    <w:rsid w:val="00424FB5"/>
    <w:rsid w:val="00434645"/>
    <w:rsid w:val="00456FBE"/>
    <w:rsid w:val="00465E0F"/>
    <w:rsid w:val="0047206E"/>
    <w:rsid w:val="00480FB6"/>
    <w:rsid w:val="004856CD"/>
    <w:rsid w:val="004E7C00"/>
    <w:rsid w:val="00503696"/>
    <w:rsid w:val="005101DD"/>
    <w:rsid w:val="0052020A"/>
    <w:rsid w:val="005223F4"/>
    <w:rsid w:val="00523814"/>
    <w:rsid w:val="00532365"/>
    <w:rsid w:val="00534F8B"/>
    <w:rsid w:val="00537C65"/>
    <w:rsid w:val="005451FB"/>
    <w:rsid w:val="00547995"/>
    <w:rsid w:val="00556F0D"/>
    <w:rsid w:val="00560C7C"/>
    <w:rsid w:val="00561D06"/>
    <w:rsid w:val="005738B6"/>
    <w:rsid w:val="00573F47"/>
    <w:rsid w:val="005824BA"/>
    <w:rsid w:val="00584C6D"/>
    <w:rsid w:val="00587E84"/>
    <w:rsid w:val="005A0A94"/>
    <w:rsid w:val="005B0014"/>
    <w:rsid w:val="005B40DC"/>
    <w:rsid w:val="005C1003"/>
    <w:rsid w:val="005C2B50"/>
    <w:rsid w:val="005C2C0D"/>
    <w:rsid w:val="005D2012"/>
    <w:rsid w:val="005F6675"/>
    <w:rsid w:val="006019E2"/>
    <w:rsid w:val="006177E4"/>
    <w:rsid w:val="00634588"/>
    <w:rsid w:val="006350C1"/>
    <w:rsid w:val="00635967"/>
    <w:rsid w:val="00665EAA"/>
    <w:rsid w:val="00667FE1"/>
    <w:rsid w:val="0068724B"/>
    <w:rsid w:val="00690FD9"/>
    <w:rsid w:val="00691438"/>
    <w:rsid w:val="00692610"/>
    <w:rsid w:val="006A0447"/>
    <w:rsid w:val="006A2701"/>
    <w:rsid w:val="006A778A"/>
    <w:rsid w:val="006C2C87"/>
    <w:rsid w:val="006C51CC"/>
    <w:rsid w:val="006D26B0"/>
    <w:rsid w:val="006D768D"/>
    <w:rsid w:val="006D784C"/>
    <w:rsid w:val="007039B1"/>
    <w:rsid w:val="00721960"/>
    <w:rsid w:val="007232F1"/>
    <w:rsid w:val="00724C88"/>
    <w:rsid w:val="00730EBF"/>
    <w:rsid w:val="00744956"/>
    <w:rsid w:val="0075105E"/>
    <w:rsid w:val="00756646"/>
    <w:rsid w:val="00756F04"/>
    <w:rsid w:val="007914B7"/>
    <w:rsid w:val="00796835"/>
    <w:rsid w:val="007B0CA7"/>
    <w:rsid w:val="007B1D5F"/>
    <w:rsid w:val="007B7C88"/>
    <w:rsid w:val="007C4263"/>
    <w:rsid w:val="007D58FF"/>
    <w:rsid w:val="007F0052"/>
    <w:rsid w:val="00803A3F"/>
    <w:rsid w:val="0081111A"/>
    <w:rsid w:val="00825C09"/>
    <w:rsid w:val="00834F58"/>
    <w:rsid w:val="00846210"/>
    <w:rsid w:val="00851389"/>
    <w:rsid w:val="008649E4"/>
    <w:rsid w:val="008741DC"/>
    <w:rsid w:val="00885A7C"/>
    <w:rsid w:val="008867B5"/>
    <w:rsid w:val="00890E28"/>
    <w:rsid w:val="008C17BF"/>
    <w:rsid w:val="008C619F"/>
    <w:rsid w:val="008C7450"/>
    <w:rsid w:val="008E05A9"/>
    <w:rsid w:val="008E1041"/>
    <w:rsid w:val="008E3D4E"/>
    <w:rsid w:val="008E5E79"/>
    <w:rsid w:val="008F33E2"/>
    <w:rsid w:val="008F34A0"/>
    <w:rsid w:val="008F5E1C"/>
    <w:rsid w:val="0090291A"/>
    <w:rsid w:val="00906256"/>
    <w:rsid w:val="0091158B"/>
    <w:rsid w:val="0091359B"/>
    <w:rsid w:val="00923F8B"/>
    <w:rsid w:val="00936293"/>
    <w:rsid w:val="00950746"/>
    <w:rsid w:val="00963D0B"/>
    <w:rsid w:val="00964242"/>
    <w:rsid w:val="00996CF1"/>
    <w:rsid w:val="00996EBE"/>
    <w:rsid w:val="009978EA"/>
    <w:rsid w:val="009B26FE"/>
    <w:rsid w:val="009C243C"/>
    <w:rsid w:val="009C3011"/>
    <w:rsid w:val="009D0A74"/>
    <w:rsid w:val="009E48FA"/>
    <w:rsid w:val="009E730C"/>
    <w:rsid w:val="009F6198"/>
    <w:rsid w:val="00A00BF3"/>
    <w:rsid w:val="00A01A5D"/>
    <w:rsid w:val="00A03D2B"/>
    <w:rsid w:val="00A07433"/>
    <w:rsid w:val="00A12231"/>
    <w:rsid w:val="00A157BD"/>
    <w:rsid w:val="00A208F0"/>
    <w:rsid w:val="00A20E52"/>
    <w:rsid w:val="00A45299"/>
    <w:rsid w:val="00A60C26"/>
    <w:rsid w:val="00A6261A"/>
    <w:rsid w:val="00A65823"/>
    <w:rsid w:val="00A843D3"/>
    <w:rsid w:val="00AA22BC"/>
    <w:rsid w:val="00AB54C9"/>
    <w:rsid w:val="00AB731A"/>
    <w:rsid w:val="00AC71C1"/>
    <w:rsid w:val="00AE7E30"/>
    <w:rsid w:val="00AF14CB"/>
    <w:rsid w:val="00AF5133"/>
    <w:rsid w:val="00AF6627"/>
    <w:rsid w:val="00B5109A"/>
    <w:rsid w:val="00B62FCE"/>
    <w:rsid w:val="00B63785"/>
    <w:rsid w:val="00B7087D"/>
    <w:rsid w:val="00B718A5"/>
    <w:rsid w:val="00B72353"/>
    <w:rsid w:val="00B80342"/>
    <w:rsid w:val="00B83933"/>
    <w:rsid w:val="00B83AD3"/>
    <w:rsid w:val="00B97DE7"/>
    <w:rsid w:val="00BA32D9"/>
    <w:rsid w:val="00BB036D"/>
    <w:rsid w:val="00BD4435"/>
    <w:rsid w:val="00BD5929"/>
    <w:rsid w:val="00BD766D"/>
    <w:rsid w:val="00BE6D85"/>
    <w:rsid w:val="00BE7ADC"/>
    <w:rsid w:val="00BF7CE5"/>
    <w:rsid w:val="00C06B8C"/>
    <w:rsid w:val="00C13A40"/>
    <w:rsid w:val="00C178E5"/>
    <w:rsid w:val="00C262F5"/>
    <w:rsid w:val="00C33931"/>
    <w:rsid w:val="00C339D7"/>
    <w:rsid w:val="00C36473"/>
    <w:rsid w:val="00C41A74"/>
    <w:rsid w:val="00C469A4"/>
    <w:rsid w:val="00C549E1"/>
    <w:rsid w:val="00C65C30"/>
    <w:rsid w:val="00C83777"/>
    <w:rsid w:val="00C84937"/>
    <w:rsid w:val="00CA2442"/>
    <w:rsid w:val="00CA7B84"/>
    <w:rsid w:val="00CB1380"/>
    <w:rsid w:val="00CC2D9C"/>
    <w:rsid w:val="00CC3AC0"/>
    <w:rsid w:val="00CC52A7"/>
    <w:rsid w:val="00CC61CB"/>
    <w:rsid w:val="00CD12DC"/>
    <w:rsid w:val="00CE0FB7"/>
    <w:rsid w:val="00CE1637"/>
    <w:rsid w:val="00CE6F03"/>
    <w:rsid w:val="00CF7396"/>
    <w:rsid w:val="00CF74B1"/>
    <w:rsid w:val="00D03245"/>
    <w:rsid w:val="00D070A5"/>
    <w:rsid w:val="00D16447"/>
    <w:rsid w:val="00D3042F"/>
    <w:rsid w:val="00D326D5"/>
    <w:rsid w:val="00D4482D"/>
    <w:rsid w:val="00D44D40"/>
    <w:rsid w:val="00D47405"/>
    <w:rsid w:val="00D50689"/>
    <w:rsid w:val="00D66C6D"/>
    <w:rsid w:val="00D67ACA"/>
    <w:rsid w:val="00D7333B"/>
    <w:rsid w:val="00D74025"/>
    <w:rsid w:val="00D801AC"/>
    <w:rsid w:val="00D86E6E"/>
    <w:rsid w:val="00D901E8"/>
    <w:rsid w:val="00DA5377"/>
    <w:rsid w:val="00DB03A1"/>
    <w:rsid w:val="00DB0825"/>
    <w:rsid w:val="00DB143A"/>
    <w:rsid w:val="00DC336D"/>
    <w:rsid w:val="00DC6C3D"/>
    <w:rsid w:val="00DD4674"/>
    <w:rsid w:val="00DD6BC4"/>
    <w:rsid w:val="00DE62FA"/>
    <w:rsid w:val="00DF1F0D"/>
    <w:rsid w:val="00E06522"/>
    <w:rsid w:val="00E07A2D"/>
    <w:rsid w:val="00E143DB"/>
    <w:rsid w:val="00E21F45"/>
    <w:rsid w:val="00E22C68"/>
    <w:rsid w:val="00E23678"/>
    <w:rsid w:val="00E26CF5"/>
    <w:rsid w:val="00E33251"/>
    <w:rsid w:val="00E418D5"/>
    <w:rsid w:val="00E57BE4"/>
    <w:rsid w:val="00E72EF5"/>
    <w:rsid w:val="00E76E8F"/>
    <w:rsid w:val="00E83933"/>
    <w:rsid w:val="00E87DFD"/>
    <w:rsid w:val="00EA03DE"/>
    <w:rsid w:val="00EB1DAB"/>
    <w:rsid w:val="00EB64FF"/>
    <w:rsid w:val="00EC024D"/>
    <w:rsid w:val="00ED16D8"/>
    <w:rsid w:val="00EF4DF5"/>
    <w:rsid w:val="00EF7A5A"/>
    <w:rsid w:val="00F04A6F"/>
    <w:rsid w:val="00F14CC5"/>
    <w:rsid w:val="00F21596"/>
    <w:rsid w:val="00F25C25"/>
    <w:rsid w:val="00F36F35"/>
    <w:rsid w:val="00F47A2F"/>
    <w:rsid w:val="00F52CA3"/>
    <w:rsid w:val="00F62088"/>
    <w:rsid w:val="00F66F03"/>
    <w:rsid w:val="00F73826"/>
    <w:rsid w:val="00FA7A40"/>
    <w:rsid w:val="00FB1F1F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D209-95A9-47BB-94A4-940E5300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6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Glushenkova</cp:lastModifiedBy>
  <cp:revision>130</cp:revision>
  <cp:lastPrinted>2021-12-23T13:25:00Z</cp:lastPrinted>
  <dcterms:created xsi:type="dcterms:W3CDTF">2021-08-10T11:03:00Z</dcterms:created>
  <dcterms:modified xsi:type="dcterms:W3CDTF">2021-12-23T13:33:00Z</dcterms:modified>
</cp:coreProperties>
</file>